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49CE4" w14:textId="77777777" w:rsidR="007A6526" w:rsidRPr="007A6526" w:rsidRDefault="007A6526" w:rsidP="007A6526">
      <w:pPr>
        <w:spacing w:before="200" w:after="100" w:line="259" w:lineRule="auto"/>
        <w:outlineLvl w:val="2"/>
        <w:rPr>
          <w:rFonts w:ascii="Arial Bold" w:eastAsia="Arial" w:hAnsi="Arial Bold" w:cs="Times New Roman"/>
          <w:b/>
          <w:noProof/>
          <w:color w:val="0934C1"/>
          <w:kern w:val="0"/>
          <w:lang w:val="en-NZ"/>
          <w14:ligatures w14:val="none"/>
        </w:rPr>
      </w:pPr>
      <w:r w:rsidRPr="007A6526">
        <w:rPr>
          <w:rFonts w:ascii="Arial Bold" w:eastAsia="Arial" w:hAnsi="Arial Bold" w:cs="Times New Roman"/>
          <w:b/>
          <w:noProof/>
          <w:color w:val="0934C1"/>
          <w:kern w:val="0"/>
          <w:lang w:val="en-NZ"/>
          <w14:ligatures w14:val="none"/>
        </w:rPr>
        <w:t>Option 2: Detailed template</w:t>
      </w:r>
    </w:p>
    <w:p w14:paraId="56B3A367" w14:textId="77777777" w:rsidR="007A6526" w:rsidRPr="007A6526" w:rsidRDefault="007A6526" w:rsidP="007A6526">
      <w:pPr>
        <w:spacing w:before="40" w:after="0" w:line="240" w:lineRule="auto"/>
        <w:rPr>
          <w:rFonts w:ascii="Arial" w:eastAsia="Arial" w:hAnsi="Arial" w:cs="Arial"/>
          <w:kern w:val="0"/>
          <w:sz w:val="18"/>
          <w:szCs w:val="18"/>
          <w:lang w:val="en-NZ"/>
          <w14:ligatures w14:val="none"/>
        </w:rPr>
      </w:pPr>
    </w:p>
    <w:p w14:paraId="449098AF" w14:textId="77777777" w:rsidR="007A6526" w:rsidRPr="00DE44BE" w:rsidRDefault="007A6526" w:rsidP="007A6526">
      <w:pPr>
        <w:spacing w:before="40" w:after="0" w:line="240" w:lineRule="auto"/>
        <w:rPr>
          <w:rFonts w:ascii="Arial" w:eastAsia="Arial" w:hAnsi="Arial" w:cs="Arial"/>
          <w:kern w:val="0"/>
          <w:sz w:val="22"/>
          <w:szCs w:val="22"/>
          <w:lang w:val="en-NZ"/>
          <w14:ligatures w14:val="none"/>
        </w:rPr>
      </w:pPr>
      <w:r w:rsidRPr="00DE44BE">
        <w:rPr>
          <w:rFonts w:ascii="Arial" w:eastAsia="Arial" w:hAnsi="Arial" w:cs="Arial"/>
          <w:kern w:val="0"/>
          <w:sz w:val="22"/>
          <w:szCs w:val="22"/>
          <w:lang w:val="en-NZ"/>
          <w14:ligatures w14:val="none"/>
        </w:rPr>
        <w:t>AFSL / CAR Address</w:t>
      </w:r>
    </w:p>
    <w:p w14:paraId="7A3E4B7C" w14:textId="77777777" w:rsidR="007A6526" w:rsidRPr="00DE44BE" w:rsidRDefault="007A6526" w:rsidP="007A6526">
      <w:pPr>
        <w:spacing w:before="40" w:after="0" w:line="240" w:lineRule="auto"/>
        <w:rPr>
          <w:rFonts w:ascii="Arial" w:eastAsia="Arial" w:hAnsi="Arial" w:cs="Arial"/>
          <w:kern w:val="0"/>
          <w:sz w:val="22"/>
          <w:szCs w:val="22"/>
          <w:lang w:val="en-NZ"/>
          <w14:ligatures w14:val="none"/>
        </w:rPr>
      </w:pPr>
      <w:r w:rsidRPr="00DE44BE">
        <w:rPr>
          <w:rFonts w:ascii="Arial" w:eastAsia="Arial" w:hAnsi="Arial" w:cs="Arial"/>
          <w:kern w:val="0"/>
          <w:sz w:val="22"/>
          <w:szCs w:val="22"/>
          <w:lang w:val="en-NZ"/>
          <w14:ligatures w14:val="none"/>
        </w:rPr>
        <w:t>ABN XX</w:t>
      </w:r>
    </w:p>
    <w:p w14:paraId="42E2D30D" w14:textId="77777777" w:rsidR="007A6526" w:rsidRPr="00DE44BE" w:rsidRDefault="007A6526" w:rsidP="007A6526">
      <w:pPr>
        <w:spacing w:before="40" w:after="0" w:line="240" w:lineRule="auto"/>
        <w:rPr>
          <w:rFonts w:ascii="Arial" w:eastAsia="Arial" w:hAnsi="Arial" w:cs="Arial"/>
          <w:kern w:val="0"/>
          <w:sz w:val="22"/>
          <w:szCs w:val="22"/>
          <w:lang w:val="en-NZ"/>
          <w14:ligatures w14:val="none"/>
        </w:rPr>
      </w:pPr>
    </w:p>
    <w:p w14:paraId="12C76F12" w14:textId="77777777" w:rsidR="007A6526" w:rsidRPr="00DE44BE" w:rsidRDefault="007A6526" w:rsidP="007A6526">
      <w:pPr>
        <w:spacing w:before="40" w:after="0" w:line="240" w:lineRule="auto"/>
        <w:rPr>
          <w:rFonts w:ascii="Arial" w:eastAsia="Arial" w:hAnsi="Arial" w:cs="Arial"/>
          <w:kern w:val="0"/>
          <w:sz w:val="22"/>
          <w:szCs w:val="22"/>
          <w:lang w:val="en-NZ"/>
          <w14:ligatures w14:val="none"/>
        </w:rPr>
      </w:pPr>
      <w:r w:rsidRPr="00DE44BE">
        <w:rPr>
          <w:rFonts w:ascii="Arial" w:eastAsia="Arial" w:hAnsi="Arial" w:cs="Arial"/>
          <w:kern w:val="0"/>
          <w:sz w:val="22"/>
          <w:szCs w:val="22"/>
          <w:lang w:val="en-NZ"/>
          <w14:ligatures w14:val="none"/>
        </w:rPr>
        <w:t>Authorised Rep of XX</w:t>
      </w:r>
    </w:p>
    <w:p w14:paraId="07FCB4BF" w14:textId="77777777" w:rsidR="007A6526" w:rsidRPr="00DE44BE" w:rsidRDefault="007A6526" w:rsidP="007A6526">
      <w:pPr>
        <w:spacing w:before="40" w:after="0" w:line="240" w:lineRule="auto"/>
        <w:rPr>
          <w:rFonts w:ascii="Arial" w:eastAsia="Arial" w:hAnsi="Arial" w:cs="Arial"/>
          <w:kern w:val="0"/>
          <w:sz w:val="22"/>
          <w:szCs w:val="22"/>
          <w:lang w:val="en-NZ"/>
          <w14:ligatures w14:val="none"/>
        </w:rPr>
      </w:pPr>
      <w:r w:rsidRPr="00DE44BE">
        <w:rPr>
          <w:rFonts w:ascii="Arial" w:eastAsia="Arial" w:hAnsi="Arial" w:cs="Arial"/>
          <w:kern w:val="0"/>
          <w:sz w:val="22"/>
          <w:szCs w:val="22"/>
          <w:lang w:val="en-NZ"/>
          <w14:ligatures w14:val="none"/>
        </w:rPr>
        <w:t>AFSL No. XX</w:t>
      </w:r>
    </w:p>
    <w:p w14:paraId="04AEC780" w14:textId="77777777" w:rsidR="007A6526" w:rsidRPr="00DE44BE" w:rsidRDefault="007A6526" w:rsidP="007A6526">
      <w:pPr>
        <w:spacing w:before="40" w:after="0" w:line="240" w:lineRule="auto"/>
        <w:rPr>
          <w:rFonts w:ascii="Arial" w:eastAsia="Arial" w:hAnsi="Arial" w:cs="Arial"/>
          <w:kern w:val="0"/>
          <w:sz w:val="22"/>
          <w:szCs w:val="22"/>
          <w:lang w:val="en-NZ"/>
          <w14:ligatures w14:val="none"/>
        </w:rPr>
      </w:pPr>
      <w:r w:rsidRPr="00DE44BE">
        <w:rPr>
          <w:rFonts w:ascii="Arial" w:eastAsia="Arial" w:hAnsi="Arial" w:cs="Arial"/>
          <w:kern w:val="0"/>
          <w:sz w:val="22"/>
          <w:szCs w:val="22"/>
          <w:lang w:val="en-NZ"/>
          <w14:ligatures w14:val="none"/>
        </w:rPr>
        <w:t>ABN XX</w:t>
      </w:r>
    </w:p>
    <w:p w14:paraId="60F61D1E" w14:textId="77777777" w:rsidR="007A6526" w:rsidRPr="00DE44BE" w:rsidRDefault="007A6526" w:rsidP="007A6526">
      <w:pPr>
        <w:spacing w:before="40" w:after="120" w:line="312" w:lineRule="auto"/>
        <w:rPr>
          <w:rFonts w:ascii="Arial" w:eastAsia="Times New Roman" w:hAnsi="Arial" w:cs="Arial"/>
          <w:b/>
          <w:bCs/>
          <w:color w:val="F15A29"/>
          <w:kern w:val="0"/>
          <w:sz w:val="22"/>
          <w:szCs w:val="22"/>
          <w:lang w:val="en-NZ" w:eastAsia="en-AU"/>
          <w14:ligatures w14:val="none"/>
        </w:rPr>
      </w:pPr>
    </w:p>
    <w:p w14:paraId="5CC802EE" w14:textId="77777777" w:rsidR="007A6526" w:rsidRPr="00DE44BE" w:rsidRDefault="007A6526" w:rsidP="007A6526">
      <w:pPr>
        <w:keepNext/>
        <w:keepLines/>
        <w:spacing w:before="240" w:line="259" w:lineRule="auto"/>
        <w:rPr>
          <w:rFonts w:ascii="Arial" w:eastAsia="Arial" w:hAnsi="Arial" w:cs="Arial"/>
          <w:b/>
          <w:bCs/>
          <w:color w:val="0934C1"/>
          <w:kern w:val="0"/>
          <w:sz w:val="22"/>
          <w:szCs w:val="22"/>
          <w14:ligatures w14:val="none"/>
        </w:rPr>
      </w:pPr>
      <w:r w:rsidRPr="00DE44BE">
        <w:rPr>
          <w:rFonts w:ascii="Arial" w:eastAsia="Arial" w:hAnsi="Arial" w:cs="Arial"/>
          <w:b/>
          <w:bCs/>
          <w:color w:val="0934C1"/>
          <w:kern w:val="0"/>
          <w:sz w:val="22"/>
          <w:szCs w:val="22"/>
          <w14:ligatures w14:val="none"/>
        </w:rPr>
        <w:t xml:space="preserve">Itemised Addendum to Invoice </w:t>
      </w:r>
      <w:r w:rsidRPr="00DE44BE">
        <w:rPr>
          <w:rFonts w:ascii="Arial" w:eastAsia="Arial" w:hAnsi="Arial" w:cs="Arial"/>
          <w:b/>
          <w:bCs/>
          <w:color w:val="0934C1"/>
          <w:kern w:val="0"/>
          <w:sz w:val="22"/>
          <w:szCs w:val="22"/>
          <w:highlight w:val="yellow"/>
          <w14:ligatures w14:val="none"/>
        </w:rPr>
        <w:t>[Invoice No]</w:t>
      </w:r>
    </w:p>
    <w:p w14:paraId="0025480B" w14:textId="77777777" w:rsidR="007A6526" w:rsidRPr="00DE44BE" w:rsidRDefault="007A6526" w:rsidP="007A6526">
      <w:pPr>
        <w:spacing w:before="40" w:after="120" w:line="312" w:lineRule="auto"/>
        <w:rPr>
          <w:rFonts w:ascii="Arial" w:eastAsia="Arial" w:hAnsi="Arial" w:cs="Arial"/>
          <w:bCs/>
          <w:kern w:val="0"/>
          <w:sz w:val="22"/>
          <w:szCs w:val="22"/>
          <w:lang w:val="en-NZ"/>
          <w14:ligatures w14:val="none"/>
        </w:rPr>
      </w:pPr>
      <w:r w:rsidRPr="00DE44BE">
        <w:rPr>
          <w:rFonts w:ascii="Arial" w:eastAsia="Arial" w:hAnsi="Arial" w:cs="Arial"/>
          <w:b/>
          <w:bCs/>
          <w:kern w:val="0"/>
          <w:sz w:val="22"/>
          <w:szCs w:val="22"/>
          <w:lang w:val="en-NZ"/>
          <w14:ligatures w14:val="none"/>
        </w:rPr>
        <w:t>Client names</w:t>
      </w:r>
    </w:p>
    <w:p w14:paraId="7E37585B" w14:textId="77777777" w:rsidR="006A50AF" w:rsidRDefault="006A50AF" w:rsidP="007A6526">
      <w:pPr>
        <w:spacing w:before="40" w:after="120" w:line="312" w:lineRule="auto"/>
        <w:rPr>
          <w:rFonts w:ascii="Arial" w:eastAsia="Arial" w:hAnsi="Arial" w:cs="Arial"/>
          <w:kern w:val="0"/>
          <w:sz w:val="22"/>
          <w:szCs w:val="22"/>
          <w:lang w:val="en-NZ"/>
          <w14:ligatures w14:val="none"/>
        </w:rPr>
      </w:pPr>
      <w:r w:rsidRPr="006A50AF">
        <w:rPr>
          <w:rFonts w:ascii="Arial" w:eastAsia="Arial" w:hAnsi="Arial" w:cs="Arial"/>
          <w:kern w:val="0"/>
          <w:sz w:val="22"/>
          <w:szCs w:val="22"/>
          <w:lang w:val="en-NZ"/>
          <w14:ligatures w14:val="none"/>
        </w:rPr>
        <w:t xml:space="preserve">This itemised addendum breaks down the initial financial planning advice fees for invoice number XXXX paid in the </w:t>
      </w:r>
      <w:r w:rsidRPr="009C329D">
        <w:rPr>
          <w:rFonts w:ascii="Arial" w:eastAsia="Arial" w:hAnsi="Arial" w:cs="Arial"/>
          <w:kern w:val="0"/>
          <w:sz w:val="22"/>
          <w:szCs w:val="22"/>
          <w:highlight w:val="yellow"/>
          <w:lang w:val="en-NZ"/>
          <w14:ligatures w14:val="none"/>
        </w:rPr>
        <w:t>2024/25</w:t>
      </w:r>
      <w:r w:rsidRPr="006A50AF">
        <w:rPr>
          <w:rFonts w:ascii="Arial" w:eastAsia="Arial" w:hAnsi="Arial" w:cs="Arial"/>
          <w:kern w:val="0"/>
          <w:sz w:val="22"/>
          <w:szCs w:val="22"/>
          <w:lang w:val="en-NZ"/>
          <w14:ligatures w14:val="none"/>
        </w:rPr>
        <w:t xml:space="preserve"> Financial Year for </w:t>
      </w:r>
      <w:r w:rsidRPr="009C329D">
        <w:rPr>
          <w:rFonts w:ascii="Arial" w:eastAsia="Arial" w:hAnsi="Arial" w:cs="Arial"/>
          <w:kern w:val="0"/>
          <w:sz w:val="22"/>
          <w:szCs w:val="22"/>
          <w:highlight w:val="yellow"/>
          <w:lang w:val="en-NZ"/>
          <w14:ligatures w14:val="none"/>
        </w:rPr>
        <w:t>Client1</w:t>
      </w:r>
      <w:r w:rsidRPr="006A50AF">
        <w:rPr>
          <w:rFonts w:ascii="Arial" w:eastAsia="Arial" w:hAnsi="Arial" w:cs="Arial"/>
          <w:kern w:val="0"/>
          <w:sz w:val="22"/>
          <w:szCs w:val="22"/>
          <w:lang w:val="en-NZ"/>
          <w14:ligatures w14:val="none"/>
        </w:rPr>
        <w:t xml:space="preserve"> and </w:t>
      </w:r>
      <w:r w:rsidRPr="009C329D">
        <w:rPr>
          <w:rFonts w:ascii="Arial" w:eastAsia="Arial" w:hAnsi="Arial" w:cs="Arial"/>
          <w:kern w:val="0"/>
          <w:sz w:val="22"/>
          <w:szCs w:val="22"/>
          <w:highlight w:val="yellow"/>
          <w:lang w:val="en-NZ"/>
          <w14:ligatures w14:val="none"/>
        </w:rPr>
        <w:t>Client2</w:t>
      </w:r>
      <w:r w:rsidRPr="006A50AF">
        <w:rPr>
          <w:rFonts w:ascii="Arial" w:eastAsia="Arial" w:hAnsi="Arial" w:cs="Arial"/>
          <w:kern w:val="0"/>
          <w:sz w:val="22"/>
          <w:szCs w:val="22"/>
          <w:lang w:val="en-NZ"/>
          <w14:ligatures w14:val="none"/>
        </w:rPr>
        <w:t xml:space="preserve"> for advice provided by </w:t>
      </w:r>
      <w:r w:rsidRPr="009B4D8F">
        <w:rPr>
          <w:rFonts w:ascii="Arial" w:eastAsia="Arial" w:hAnsi="Arial" w:cs="Arial"/>
          <w:kern w:val="0"/>
          <w:sz w:val="22"/>
          <w:szCs w:val="22"/>
          <w:highlight w:val="yellow"/>
          <w:lang w:val="en-NZ"/>
          <w14:ligatures w14:val="none"/>
        </w:rPr>
        <w:t>[Adviser Name]</w:t>
      </w:r>
      <w:r w:rsidRPr="006A50AF">
        <w:rPr>
          <w:rFonts w:ascii="Arial" w:eastAsia="Arial" w:hAnsi="Arial" w:cs="Arial"/>
          <w:kern w:val="0"/>
          <w:sz w:val="22"/>
          <w:szCs w:val="22"/>
          <w:lang w:val="en-NZ"/>
          <w14:ligatures w14:val="none"/>
        </w:rPr>
        <w:t xml:space="preserve"> ([</w:t>
      </w:r>
      <w:r w:rsidRPr="009B4D8F">
        <w:rPr>
          <w:rFonts w:ascii="Arial" w:eastAsia="Arial" w:hAnsi="Arial" w:cs="Arial"/>
          <w:kern w:val="0"/>
          <w:sz w:val="22"/>
          <w:szCs w:val="22"/>
          <w:highlight w:val="yellow"/>
          <w:lang w:val="en-NZ"/>
          <w14:ligatures w14:val="none"/>
        </w:rPr>
        <w:t>Company Name</w:t>
      </w:r>
      <w:r w:rsidRPr="006A50AF">
        <w:rPr>
          <w:rFonts w:ascii="Arial" w:eastAsia="Arial" w:hAnsi="Arial" w:cs="Arial"/>
          <w:kern w:val="0"/>
          <w:sz w:val="22"/>
          <w:szCs w:val="22"/>
          <w:lang w:val="en-NZ"/>
          <w14:ligatures w14:val="none"/>
        </w:rPr>
        <w:t>]), authorised representatives of [</w:t>
      </w:r>
      <w:r w:rsidRPr="009B4D8F">
        <w:rPr>
          <w:rFonts w:ascii="Arial" w:eastAsia="Arial" w:hAnsi="Arial" w:cs="Arial"/>
          <w:kern w:val="0"/>
          <w:sz w:val="22"/>
          <w:szCs w:val="22"/>
          <w:highlight w:val="yellow"/>
          <w:lang w:val="en-NZ"/>
          <w14:ligatures w14:val="none"/>
        </w:rPr>
        <w:t>Licensee Name</w:t>
      </w:r>
      <w:r w:rsidRPr="006A50AF">
        <w:rPr>
          <w:rFonts w:ascii="Arial" w:eastAsia="Arial" w:hAnsi="Arial" w:cs="Arial"/>
          <w:kern w:val="0"/>
          <w:sz w:val="22"/>
          <w:szCs w:val="22"/>
          <w:lang w:val="en-NZ"/>
          <w14:ligatures w14:val="none"/>
        </w:rPr>
        <w:t>], AFS Licence No [</w:t>
      </w:r>
      <w:r w:rsidRPr="009B4D8F">
        <w:rPr>
          <w:rFonts w:ascii="Arial" w:eastAsia="Arial" w:hAnsi="Arial" w:cs="Arial"/>
          <w:kern w:val="0"/>
          <w:sz w:val="22"/>
          <w:szCs w:val="22"/>
          <w:highlight w:val="yellow"/>
          <w:lang w:val="en-NZ"/>
          <w14:ligatures w14:val="none"/>
        </w:rPr>
        <w:t>Number</w:t>
      </w:r>
      <w:r w:rsidRPr="006A50AF">
        <w:rPr>
          <w:rFonts w:ascii="Arial" w:eastAsia="Arial" w:hAnsi="Arial" w:cs="Arial"/>
          <w:kern w:val="0"/>
          <w:sz w:val="22"/>
          <w:szCs w:val="22"/>
          <w:lang w:val="en-NZ"/>
          <w14:ligatures w14:val="none"/>
        </w:rPr>
        <w:t>].</w:t>
      </w:r>
    </w:p>
    <w:p w14:paraId="6E46161E" w14:textId="3077C7C3" w:rsidR="007A6526" w:rsidRPr="00DE44BE" w:rsidRDefault="007A6526" w:rsidP="007A6526">
      <w:pPr>
        <w:spacing w:before="40" w:after="120" w:line="312" w:lineRule="auto"/>
        <w:rPr>
          <w:rFonts w:ascii="Arial" w:eastAsia="Arial" w:hAnsi="Arial" w:cs="Arial"/>
          <w:kern w:val="0"/>
          <w:sz w:val="22"/>
          <w:szCs w:val="22"/>
          <w:lang w:val="en-NZ"/>
          <w14:ligatures w14:val="none"/>
        </w:rPr>
      </w:pPr>
      <w:r w:rsidRPr="00DE44BE">
        <w:rPr>
          <w:rFonts w:ascii="Arial" w:eastAsia="Arial" w:hAnsi="Arial" w:cs="Arial"/>
          <w:kern w:val="0"/>
          <w:sz w:val="22"/>
          <w:szCs w:val="22"/>
          <w:lang w:val="en-NZ"/>
          <w14:ligatures w14:val="none"/>
        </w:rPr>
        <w:t xml:space="preserve"> </w:t>
      </w:r>
    </w:p>
    <w:p w14:paraId="11CB63DA" w14:textId="77777777" w:rsidR="007A6526" w:rsidRPr="00DE44BE" w:rsidRDefault="007A6526" w:rsidP="007A6526">
      <w:pPr>
        <w:spacing w:before="40" w:after="120" w:line="312" w:lineRule="auto"/>
        <w:rPr>
          <w:rFonts w:ascii="Arial" w:eastAsia="Arial" w:hAnsi="Arial" w:cs="Arial"/>
          <w:b/>
          <w:bCs/>
          <w:kern w:val="0"/>
          <w:sz w:val="22"/>
          <w:szCs w:val="22"/>
          <w:lang w:val="en-NZ"/>
          <w14:ligatures w14:val="none"/>
        </w:rPr>
      </w:pPr>
      <w:r w:rsidRPr="00DE44BE">
        <w:rPr>
          <w:rFonts w:ascii="Arial" w:eastAsia="Arial" w:hAnsi="Arial" w:cs="Arial"/>
          <w:b/>
          <w:bCs/>
          <w:kern w:val="0"/>
          <w:sz w:val="22"/>
          <w:szCs w:val="22"/>
          <w:lang w:val="en-NZ"/>
          <w14:ligatures w14:val="none"/>
        </w:rPr>
        <w:t>Summary Of Fees</w:t>
      </w:r>
    </w:p>
    <w:tbl>
      <w:tblPr>
        <w:tblStyle w:val="CAANZDefaulttable4"/>
        <w:tblW w:w="5000" w:type="pct"/>
        <w:tblLook w:val="04A0" w:firstRow="1" w:lastRow="0" w:firstColumn="1" w:lastColumn="0" w:noHBand="0" w:noVBand="1"/>
      </w:tblPr>
      <w:tblGrid>
        <w:gridCol w:w="4943"/>
        <w:gridCol w:w="2793"/>
        <w:gridCol w:w="1788"/>
      </w:tblGrid>
      <w:tr w:rsidR="007A6526" w:rsidRPr="00DE44BE" w14:paraId="73E803FA" w14:textId="77777777" w:rsidTr="00A91E9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pct"/>
            <w:noWrap/>
            <w:hideMark/>
          </w:tcPr>
          <w:p w14:paraId="42C26BDA" w14:textId="77777777" w:rsidR="007A6526" w:rsidRPr="00DE44BE" w:rsidRDefault="007A6526" w:rsidP="007A6526">
            <w:pPr>
              <w:spacing w:after="120" w:line="240" w:lineRule="auto"/>
              <w:rPr>
                <w:rFonts w:ascii="Arial" w:eastAsia="Times New Roman" w:hAnsi="Arial" w:cs="Arial"/>
                <w:bCs/>
                <w:sz w:val="22"/>
                <w:szCs w:val="22"/>
                <w:lang w:eastAsia="en-AU"/>
              </w:rPr>
            </w:pPr>
            <w:r w:rsidRPr="00DE44BE">
              <w:rPr>
                <w:rFonts w:ascii="Arial" w:eastAsia="Times New Roman" w:hAnsi="Arial" w:cs="Arial"/>
                <w:bCs/>
                <w:sz w:val="22"/>
                <w:szCs w:val="22"/>
                <w:lang w:eastAsia="en-AU"/>
              </w:rPr>
              <w:t>Total initial advice fee paid</w:t>
            </w:r>
          </w:p>
        </w:tc>
        <w:tc>
          <w:tcPr>
            <w:tcW w:w="0" w:type="pct"/>
            <w:noWrap/>
            <w:hideMark/>
          </w:tcPr>
          <w:p w14:paraId="37B052E0" w14:textId="77777777" w:rsidR="007A6526" w:rsidRPr="00DE44BE" w:rsidRDefault="007A6526" w:rsidP="007A6526">
            <w:pPr>
              <w:spacing w:after="120"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sz w:val="22"/>
                <w:szCs w:val="22"/>
                <w:lang w:eastAsia="en-AU"/>
              </w:rPr>
            </w:pPr>
            <w:r w:rsidRPr="00DE44BE">
              <w:rPr>
                <w:rFonts w:ascii="Arial" w:eastAsia="Times New Roman" w:hAnsi="Arial" w:cs="Arial"/>
                <w:bCs/>
                <w:sz w:val="22"/>
                <w:szCs w:val="22"/>
                <w:lang w:eastAsia="en-AU"/>
              </w:rPr>
              <w:t> </w:t>
            </w:r>
          </w:p>
        </w:tc>
        <w:tc>
          <w:tcPr>
            <w:tcW w:w="0" w:type="pct"/>
            <w:noWrap/>
            <w:hideMark/>
          </w:tcPr>
          <w:p w14:paraId="02683C90" w14:textId="77777777" w:rsidR="007A6526" w:rsidRPr="00DE44BE" w:rsidRDefault="007A6526" w:rsidP="007A6526">
            <w:pPr>
              <w:spacing w:after="120"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sz w:val="22"/>
                <w:szCs w:val="22"/>
                <w:lang w:eastAsia="en-AU"/>
              </w:rPr>
            </w:pPr>
            <w:r w:rsidRPr="00DE44BE">
              <w:rPr>
                <w:rFonts w:ascii="Arial" w:eastAsia="Arial" w:hAnsi="Arial" w:cs="Arial"/>
                <w:bCs/>
                <w:sz w:val="22"/>
                <w:szCs w:val="22"/>
              </w:rPr>
              <w:t>$8,800</w:t>
            </w:r>
          </w:p>
        </w:tc>
      </w:tr>
      <w:tr w:rsidR="007A6526" w:rsidRPr="00DE44BE" w14:paraId="36E23630" w14:textId="77777777" w:rsidTr="00A91E96">
        <w:trPr>
          <w:trHeight w:val="340"/>
        </w:trPr>
        <w:tc>
          <w:tcPr>
            <w:cnfStyle w:val="001000000000" w:firstRow="0" w:lastRow="0" w:firstColumn="1" w:lastColumn="0" w:oddVBand="0" w:evenVBand="0" w:oddHBand="0" w:evenHBand="0" w:firstRowFirstColumn="0" w:firstRowLastColumn="0" w:lastRowFirstColumn="0" w:lastRowLastColumn="0"/>
            <w:tcW w:w="0" w:type="pct"/>
            <w:noWrap/>
            <w:hideMark/>
          </w:tcPr>
          <w:p w14:paraId="26ED7959" w14:textId="77777777" w:rsidR="007A6526" w:rsidRPr="00DE44BE" w:rsidRDefault="007A6526" w:rsidP="007A6526">
            <w:pPr>
              <w:spacing w:after="120" w:line="240" w:lineRule="auto"/>
              <w:rPr>
                <w:rFonts w:eastAsia="Times New Roman" w:cs="Arial"/>
                <w:sz w:val="22"/>
                <w:szCs w:val="22"/>
                <w:lang w:eastAsia="en-AU"/>
              </w:rPr>
            </w:pPr>
            <w:r w:rsidRPr="00DE44BE">
              <w:rPr>
                <w:rFonts w:eastAsia="Times New Roman" w:cs="Arial"/>
                <w:sz w:val="22"/>
                <w:szCs w:val="22"/>
                <w:lang w:eastAsia="en-AU"/>
              </w:rPr>
              <w:t>Advice fees not related to tax affairs</w:t>
            </w:r>
          </w:p>
        </w:tc>
        <w:tc>
          <w:tcPr>
            <w:tcW w:w="0" w:type="pct"/>
            <w:noWrap/>
            <w:hideMark/>
          </w:tcPr>
          <w:p w14:paraId="7F55088B" w14:textId="77777777" w:rsidR="007A6526" w:rsidRPr="00DE44BE" w:rsidRDefault="007A6526" w:rsidP="007A6526">
            <w:pPr>
              <w:spacing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en-AU"/>
              </w:rPr>
            </w:pPr>
            <w:r w:rsidRPr="00DE44BE">
              <w:rPr>
                <w:rFonts w:eastAsia="Times New Roman" w:cs="Arial"/>
                <w:sz w:val="22"/>
                <w:szCs w:val="22"/>
                <w:lang w:eastAsia="en-AU"/>
              </w:rPr>
              <w:t> </w:t>
            </w:r>
          </w:p>
        </w:tc>
        <w:tc>
          <w:tcPr>
            <w:tcW w:w="0" w:type="pct"/>
            <w:noWrap/>
            <w:hideMark/>
          </w:tcPr>
          <w:p w14:paraId="7C35CC0E" w14:textId="77777777" w:rsidR="007A6526" w:rsidRPr="00DE44BE" w:rsidRDefault="007A6526" w:rsidP="007A6526">
            <w:pPr>
              <w:spacing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en-AU"/>
              </w:rPr>
            </w:pPr>
            <w:r w:rsidRPr="00DE44BE">
              <w:rPr>
                <w:rFonts w:eastAsia="Arial" w:cs="Arial"/>
                <w:sz w:val="22"/>
                <w:szCs w:val="22"/>
              </w:rPr>
              <w:t>$2,860</w:t>
            </w:r>
          </w:p>
        </w:tc>
      </w:tr>
      <w:tr w:rsidR="007A6526" w:rsidRPr="00DE44BE" w14:paraId="0388FEBF" w14:textId="77777777" w:rsidTr="00A91E96">
        <w:trPr>
          <w:trHeight w:val="340"/>
        </w:trPr>
        <w:tc>
          <w:tcPr>
            <w:cnfStyle w:val="001000000000" w:firstRow="0" w:lastRow="0" w:firstColumn="1" w:lastColumn="0" w:oddVBand="0" w:evenVBand="0" w:oddHBand="0" w:evenHBand="0" w:firstRowFirstColumn="0" w:firstRowLastColumn="0" w:lastRowFirstColumn="0" w:lastRowLastColumn="0"/>
            <w:tcW w:w="0" w:type="pct"/>
            <w:noWrap/>
            <w:hideMark/>
          </w:tcPr>
          <w:p w14:paraId="1F45A814" w14:textId="77777777" w:rsidR="007A6526" w:rsidRPr="00DE44BE" w:rsidRDefault="007A6526" w:rsidP="007A6526">
            <w:pPr>
              <w:spacing w:after="120" w:line="240" w:lineRule="auto"/>
              <w:rPr>
                <w:rFonts w:eastAsia="Times New Roman" w:cs="Arial"/>
                <w:sz w:val="22"/>
                <w:szCs w:val="22"/>
                <w:lang w:eastAsia="en-AU"/>
              </w:rPr>
            </w:pPr>
            <w:r w:rsidRPr="00DE44BE">
              <w:rPr>
                <w:rFonts w:eastAsia="Times New Roman" w:cs="Arial"/>
                <w:sz w:val="22"/>
                <w:szCs w:val="22"/>
                <w:lang w:eastAsia="en-AU"/>
              </w:rPr>
              <w:t>Advice fees paid via superannuation</w:t>
            </w:r>
          </w:p>
        </w:tc>
        <w:tc>
          <w:tcPr>
            <w:tcW w:w="0" w:type="pct"/>
            <w:noWrap/>
            <w:hideMark/>
          </w:tcPr>
          <w:p w14:paraId="4E4DDC89" w14:textId="77777777" w:rsidR="007A6526" w:rsidRPr="00DE44BE" w:rsidRDefault="007A6526" w:rsidP="007A6526">
            <w:pPr>
              <w:spacing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en-AU"/>
              </w:rPr>
            </w:pPr>
            <w:r w:rsidRPr="00DE44BE">
              <w:rPr>
                <w:rFonts w:eastAsia="Times New Roman" w:cs="Arial"/>
                <w:sz w:val="22"/>
                <w:szCs w:val="22"/>
                <w:lang w:eastAsia="en-AU"/>
              </w:rPr>
              <w:t> </w:t>
            </w:r>
          </w:p>
        </w:tc>
        <w:tc>
          <w:tcPr>
            <w:tcW w:w="0" w:type="pct"/>
            <w:noWrap/>
            <w:hideMark/>
          </w:tcPr>
          <w:p w14:paraId="1C12425F" w14:textId="3F3EB2FE" w:rsidR="007A6526" w:rsidRPr="00DE44BE" w:rsidRDefault="00D93DA3" w:rsidP="007A6526">
            <w:pPr>
              <w:spacing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en-AU"/>
              </w:rPr>
            </w:pPr>
            <w:r>
              <w:rPr>
                <w:rFonts w:eastAsia="Times New Roman" w:cs="Arial"/>
                <w:sz w:val="22"/>
                <w:szCs w:val="22"/>
                <w:lang w:eastAsia="en-AU"/>
              </w:rPr>
              <w:t>Nil</w:t>
            </w:r>
          </w:p>
        </w:tc>
      </w:tr>
      <w:tr w:rsidR="007A6526" w:rsidRPr="00DE44BE" w14:paraId="3B692A76" w14:textId="77777777" w:rsidTr="00A91E96">
        <w:trPr>
          <w:trHeight w:val="340"/>
        </w:trPr>
        <w:tc>
          <w:tcPr>
            <w:cnfStyle w:val="001000000000" w:firstRow="0" w:lastRow="0" w:firstColumn="1" w:lastColumn="0" w:oddVBand="0" w:evenVBand="0" w:oddHBand="0" w:evenHBand="0" w:firstRowFirstColumn="0" w:firstRowLastColumn="0" w:lastRowFirstColumn="0" w:lastRowLastColumn="0"/>
            <w:tcW w:w="0" w:type="pct"/>
            <w:noWrap/>
            <w:hideMark/>
          </w:tcPr>
          <w:p w14:paraId="39A19CC2" w14:textId="77777777" w:rsidR="007A6526" w:rsidRPr="00DE44BE" w:rsidRDefault="007A6526" w:rsidP="007A6526">
            <w:pPr>
              <w:spacing w:after="120" w:line="240" w:lineRule="auto"/>
              <w:rPr>
                <w:rFonts w:eastAsia="Times New Roman" w:cs="Arial"/>
                <w:bCs/>
                <w:sz w:val="22"/>
                <w:szCs w:val="22"/>
                <w:lang w:eastAsia="en-AU"/>
              </w:rPr>
            </w:pPr>
            <w:r w:rsidRPr="00DE44BE">
              <w:rPr>
                <w:rFonts w:eastAsia="Times New Roman" w:cs="Arial"/>
                <w:bCs/>
                <w:sz w:val="22"/>
                <w:szCs w:val="22"/>
                <w:lang w:eastAsia="en-AU"/>
              </w:rPr>
              <w:t>Advice fee related to tax affairs</w:t>
            </w:r>
          </w:p>
        </w:tc>
        <w:tc>
          <w:tcPr>
            <w:tcW w:w="0" w:type="pct"/>
            <w:noWrap/>
            <w:hideMark/>
          </w:tcPr>
          <w:p w14:paraId="0807A13C" w14:textId="77777777" w:rsidR="007A6526" w:rsidRPr="00DE44BE" w:rsidRDefault="007A6526" w:rsidP="007A6526">
            <w:pPr>
              <w:spacing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Arial"/>
                <w:b/>
                <w:bCs/>
                <w:sz w:val="22"/>
                <w:szCs w:val="22"/>
                <w:lang w:eastAsia="en-AU"/>
              </w:rPr>
            </w:pPr>
            <w:r w:rsidRPr="00DE44BE">
              <w:rPr>
                <w:rFonts w:eastAsia="Times New Roman" w:cs="Arial"/>
                <w:b/>
                <w:bCs/>
                <w:sz w:val="22"/>
                <w:szCs w:val="22"/>
                <w:lang w:eastAsia="en-AU"/>
              </w:rPr>
              <w:t> </w:t>
            </w:r>
          </w:p>
        </w:tc>
        <w:tc>
          <w:tcPr>
            <w:tcW w:w="0" w:type="pct"/>
            <w:noWrap/>
            <w:hideMark/>
          </w:tcPr>
          <w:p w14:paraId="27C13DB6" w14:textId="77777777" w:rsidR="007A6526" w:rsidRPr="00DE44BE" w:rsidRDefault="007A6526" w:rsidP="007A6526">
            <w:pPr>
              <w:spacing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Arial"/>
                <w:b/>
                <w:bCs/>
                <w:sz w:val="22"/>
                <w:szCs w:val="22"/>
                <w:lang w:eastAsia="en-AU"/>
              </w:rPr>
            </w:pPr>
            <w:r w:rsidRPr="00DE44BE">
              <w:rPr>
                <w:rFonts w:eastAsia="Arial" w:cs="Arial"/>
                <w:b/>
                <w:bCs/>
                <w:sz w:val="22"/>
                <w:szCs w:val="22"/>
              </w:rPr>
              <w:t>$5,940</w:t>
            </w:r>
          </w:p>
        </w:tc>
      </w:tr>
      <w:tr w:rsidR="007A6526" w:rsidRPr="00DE44BE" w14:paraId="050D0A8A" w14:textId="77777777" w:rsidTr="00A91E96">
        <w:trPr>
          <w:trHeight w:val="340"/>
        </w:trPr>
        <w:tc>
          <w:tcPr>
            <w:cnfStyle w:val="001000000000" w:firstRow="0" w:lastRow="0" w:firstColumn="1" w:lastColumn="0" w:oddVBand="0" w:evenVBand="0" w:oddHBand="0" w:evenHBand="0" w:firstRowFirstColumn="0" w:firstRowLastColumn="0" w:lastRowFirstColumn="0" w:lastRowLastColumn="0"/>
            <w:tcW w:w="0" w:type="pct"/>
            <w:noWrap/>
            <w:hideMark/>
          </w:tcPr>
          <w:p w14:paraId="4C8EC550" w14:textId="77777777" w:rsidR="007A6526" w:rsidRPr="00DE44BE" w:rsidRDefault="007A6526" w:rsidP="007A6526">
            <w:pPr>
              <w:spacing w:after="120" w:line="240" w:lineRule="auto"/>
              <w:ind w:firstLineChars="200" w:firstLine="442"/>
              <w:rPr>
                <w:rFonts w:eastAsia="Times New Roman" w:cs="Arial"/>
                <w:sz w:val="22"/>
                <w:szCs w:val="22"/>
                <w:lang w:eastAsia="en-AU"/>
              </w:rPr>
            </w:pPr>
            <w:r w:rsidRPr="00DE44BE">
              <w:rPr>
                <w:rFonts w:eastAsia="Times New Roman" w:cs="Arial"/>
                <w:sz w:val="22"/>
                <w:szCs w:val="22"/>
                <w:lang w:eastAsia="en-AU"/>
              </w:rPr>
              <w:t>Estimated deductible portion for</w:t>
            </w:r>
          </w:p>
        </w:tc>
        <w:tc>
          <w:tcPr>
            <w:tcW w:w="0" w:type="pct"/>
            <w:noWrap/>
            <w:hideMark/>
          </w:tcPr>
          <w:p w14:paraId="7AE8C481" w14:textId="23C60BF6" w:rsidR="00637F61" w:rsidRDefault="00637F61" w:rsidP="00096899">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Cs w:val="16"/>
                <w:highlight w:val="yellow"/>
                <w:lang w:eastAsia="en-AU"/>
              </w:rPr>
            </w:pPr>
            <w:r w:rsidRPr="00712E97">
              <w:rPr>
                <w:rFonts w:asciiTheme="minorHAnsi" w:eastAsia="Times New Roman" w:hAnsiTheme="minorHAnsi" w:cstheme="minorHAnsi"/>
                <w:szCs w:val="16"/>
                <w:highlight w:val="yellow"/>
                <w:lang w:eastAsia="en-AU"/>
              </w:rPr>
              <w:t>Client</w:t>
            </w:r>
            <w:r>
              <w:rPr>
                <w:rFonts w:asciiTheme="minorHAnsi" w:eastAsia="Times New Roman" w:hAnsiTheme="minorHAnsi" w:cstheme="minorHAnsi"/>
                <w:szCs w:val="16"/>
                <w:highlight w:val="yellow"/>
                <w:lang w:eastAsia="en-AU"/>
              </w:rPr>
              <w:t xml:space="preserve">1 </w:t>
            </w:r>
            <w:r>
              <w:rPr>
                <w:rFonts w:asciiTheme="minorHAnsi" w:eastAsia="Times New Roman" w:hAnsiTheme="minorHAnsi" w:cstheme="minorHAnsi"/>
                <w:szCs w:val="16"/>
                <w:highlight w:val="yellow"/>
                <w:lang w:eastAsia="en-AU"/>
              </w:rPr>
              <w:tab/>
              <w:t>s 25-5 ($2,720)</w:t>
            </w:r>
          </w:p>
          <w:p w14:paraId="1C345CBD" w14:textId="23264BF9" w:rsidR="007A6526" w:rsidRPr="00637F61" w:rsidRDefault="00637F61" w:rsidP="00637F6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Cs w:val="16"/>
                <w:highlight w:val="yellow"/>
                <w:lang w:eastAsia="en-AU"/>
              </w:rPr>
            </w:pPr>
            <w:r>
              <w:rPr>
                <w:rFonts w:asciiTheme="minorHAnsi" w:eastAsia="Times New Roman" w:hAnsiTheme="minorHAnsi" w:cstheme="minorHAnsi"/>
                <w:szCs w:val="16"/>
                <w:highlight w:val="yellow"/>
                <w:lang w:eastAsia="en-AU"/>
              </w:rPr>
              <w:tab/>
              <w:t>s 8-1 ($140)</w:t>
            </w:r>
          </w:p>
        </w:tc>
        <w:tc>
          <w:tcPr>
            <w:tcW w:w="0" w:type="pct"/>
            <w:noWrap/>
            <w:hideMark/>
          </w:tcPr>
          <w:p w14:paraId="1FD68DDD" w14:textId="4A11B082" w:rsidR="007A6526" w:rsidRPr="00DE44BE" w:rsidRDefault="007A6526" w:rsidP="007A6526">
            <w:pPr>
              <w:spacing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en-AU"/>
              </w:rPr>
            </w:pPr>
            <w:r w:rsidRPr="00DE44BE">
              <w:rPr>
                <w:rFonts w:eastAsia="Arial" w:cs="Arial"/>
                <w:sz w:val="22"/>
                <w:szCs w:val="22"/>
              </w:rPr>
              <w:t>$</w:t>
            </w:r>
            <w:r w:rsidR="0010694E">
              <w:rPr>
                <w:rFonts w:eastAsia="Arial" w:cs="Arial"/>
                <w:sz w:val="22"/>
                <w:szCs w:val="22"/>
              </w:rPr>
              <w:t>2,860</w:t>
            </w:r>
          </w:p>
        </w:tc>
      </w:tr>
      <w:tr w:rsidR="007A6526" w:rsidRPr="00DE44BE" w14:paraId="6D4C06DD" w14:textId="77777777" w:rsidTr="00A91E96">
        <w:trPr>
          <w:trHeight w:val="340"/>
        </w:trPr>
        <w:tc>
          <w:tcPr>
            <w:cnfStyle w:val="001000000000" w:firstRow="0" w:lastRow="0" w:firstColumn="1" w:lastColumn="0" w:oddVBand="0" w:evenVBand="0" w:oddHBand="0" w:evenHBand="0" w:firstRowFirstColumn="0" w:firstRowLastColumn="0" w:lastRowFirstColumn="0" w:lastRowLastColumn="0"/>
            <w:tcW w:w="0" w:type="pct"/>
            <w:noWrap/>
            <w:hideMark/>
          </w:tcPr>
          <w:p w14:paraId="605A0CE6" w14:textId="77777777" w:rsidR="007A6526" w:rsidRPr="00DE44BE" w:rsidRDefault="007A6526" w:rsidP="007A6526">
            <w:pPr>
              <w:spacing w:after="120" w:line="240" w:lineRule="auto"/>
              <w:ind w:firstLineChars="200" w:firstLine="442"/>
              <w:rPr>
                <w:rFonts w:eastAsia="Times New Roman" w:cs="Arial"/>
                <w:sz w:val="22"/>
                <w:szCs w:val="22"/>
                <w:lang w:eastAsia="en-AU"/>
              </w:rPr>
            </w:pPr>
            <w:r w:rsidRPr="00DE44BE">
              <w:rPr>
                <w:rFonts w:eastAsia="Times New Roman" w:cs="Arial"/>
                <w:sz w:val="22"/>
                <w:szCs w:val="22"/>
                <w:lang w:eastAsia="en-AU"/>
              </w:rPr>
              <w:t>Estimated deductible portion for</w:t>
            </w:r>
          </w:p>
        </w:tc>
        <w:tc>
          <w:tcPr>
            <w:tcW w:w="0" w:type="pct"/>
            <w:noWrap/>
            <w:hideMark/>
          </w:tcPr>
          <w:p w14:paraId="02E1037D" w14:textId="5E172A7F" w:rsidR="00176920" w:rsidRDefault="00176920" w:rsidP="00096899">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Cs w:val="16"/>
                <w:highlight w:val="yellow"/>
                <w:lang w:eastAsia="en-AU"/>
              </w:rPr>
            </w:pPr>
            <w:r>
              <w:rPr>
                <w:rFonts w:asciiTheme="minorHAnsi" w:eastAsia="Times New Roman" w:hAnsiTheme="minorHAnsi" w:cstheme="minorHAnsi"/>
                <w:szCs w:val="16"/>
                <w:highlight w:val="yellow"/>
                <w:lang w:eastAsia="en-AU"/>
              </w:rPr>
              <w:t xml:space="preserve">Client2 </w:t>
            </w:r>
            <w:r>
              <w:rPr>
                <w:rFonts w:asciiTheme="minorHAnsi" w:eastAsia="Times New Roman" w:hAnsiTheme="minorHAnsi" w:cstheme="minorHAnsi"/>
                <w:szCs w:val="16"/>
                <w:highlight w:val="yellow"/>
                <w:lang w:eastAsia="en-AU"/>
              </w:rPr>
              <w:tab/>
              <w:t>s 25-5 ($2,720)</w:t>
            </w:r>
          </w:p>
          <w:p w14:paraId="79ADB94E" w14:textId="0E244E94" w:rsidR="007A6526" w:rsidRPr="00DE44BE" w:rsidRDefault="00176920" w:rsidP="00DA4148">
            <w:pPr>
              <w:spacing w:before="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2"/>
                <w:szCs w:val="22"/>
                <w:highlight w:val="yellow"/>
                <w:lang w:eastAsia="en-AU"/>
              </w:rPr>
            </w:pPr>
            <w:r>
              <w:rPr>
                <w:rFonts w:asciiTheme="minorHAnsi" w:eastAsia="Times New Roman" w:hAnsiTheme="minorHAnsi" w:cstheme="minorHAnsi"/>
                <w:szCs w:val="16"/>
                <w:highlight w:val="yellow"/>
                <w:lang w:eastAsia="en-AU"/>
              </w:rPr>
              <w:tab/>
              <w:t>s 8-1 ($360)</w:t>
            </w:r>
          </w:p>
        </w:tc>
        <w:tc>
          <w:tcPr>
            <w:tcW w:w="0" w:type="pct"/>
            <w:noWrap/>
            <w:hideMark/>
          </w:tcPr>
          <w:p w14:paraId="18AAD8CE" w14:textId="065A1CDB" w:rsidR="007A6526" w:rsidRPr="00DE44BE" w:rsidRDefault="007A6526" w:rsidP="007A6526">
            <w:pPr>
              <w:spacing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en-AU"/>
              </w:rPr>
            </w:pPr>
            <w:r w:rsidRPr="00DE44BE">
              <w:rPr>
                <w:rFonts w:eastAsia="Arial" w:cs="Arial"/>
                <w:sz w:val="22"/>
                <w:szCs w:val="22"/>
              </w:rPr>
              <w:t>$</w:t>
            </w:r>
            <w:r w:rsidR="0010694E">
              <w:rPr>
                <w:rFonts w:eastAsia="Arial" w:cs="Arial"/>
                <w:sz w:val="22"/>
                <w:szCs w:val="22"/>
              </w:rPr>
              <w:t>3,080</w:t>
            </w:r>
          </w:p>
        </w:tc>
      </w:tr>
    </w:tbl>
    <w:p w14:paraId="18B036B0" w14:textId="77777777" w:rsidR="007A6526" w:rsidRPr="00DE44BE" w:rsidRDefault="007A6526" w:rsidP="007A6526">
      <w:pPr>
        <w:spacing w:before="40" w:after="120" w:line="312" w:lineRule="auto"/>
        <w:rPr>
          <w:rFonts w:ascii="Arial" w:eastAsia="Arial" w:hAnsi="Arial" w:cs="Arial"/>
          <w:kern w:val="0"/>
          <w:sz w:val="22"/>
          <w:szCs w:val="22"/>
          <w:lang w:val="en-NZ"/>
          <w14:ligatures w14:val="none"/>
        </w:rPr>
      </w:pPr>
      <w:r w:rsidRPr="00DE44BE">
        <w:rPr>
          <w:rFonts w:ascii="Arial" w:eastAsia="Arial" w:hAnsi="Arial" w:cs="Arial"/>
          <w:kern w:val="0"/>
          <w:sz w:val="22"/>
          <w:szCs w:val="22"/>
          <w:lang w:val="en-NZ"/>
          <w14:ligatures w14:val="none"/>
        </w:rPr>
        <w:t xml:space="preserve">The figures above </w:t>
      </w:r>
      <w:r w:rsidRPr="00DE44BE">
        <w:rPr>
          <w:rFonts w:ascii="Arial" w:eastAsia="Arial" w:hAnsi="Arial" w:cs="Arial"/>
          <w:kern w:val="0"/>
          <w:sz w:val="22"/>
          <w:szCs w:val="22"/>
          <w:highlight w:val="yellow"/>
          <w:lang w:val="en-NZ"/>
          <w14:ligatures w14:val="none"/>
        </w:rPr>
        <w:t>include GST</w:t>
      </w:r>
    </w:p>
    <w:p w14:paraId="3B2EAEB7" w14:textId="77777777" w:rsidR="007A6526" w:rsidRPr="00DE44BE" w:rsidRDefault="007A6526" w:rsidP="007A6526">
      <w:pPr>
        <w:spacing w:before="40" w:after="120" w:line="312" w:lineRule="auto"/>
        <w:rPr>
          <w:rFonts w:ascii="Arial" w:eastAsia="Arial" w:hAnsi="Arial" w:cs="Arial"/>
          <w:b/>
          <w:bCs/>
          <w:kern w:val="0"/>
          <w:sz w:val="22"/>
          <w:szCs w:val="22"/>
          <w:lang w:val="en-NZ"/>
          <w14:ligatures w14:val="none"/>
        </w:rPr>
      </w:pPr>
    </w:p>
    <w:p w14:paraId="08F185D7" w14:textId="77777777" w:rsidR="007A6526" w:rsidRPr="00DE44BE" w:rsidRDefault="007A6526" w:rsidP="007A6526">
      <w:pPr>
        <w:spacing w:before="40" w:after="120" w:line="312" w:lineRule="auto"/>
        <w:rPr>
          <w:rFonts w:ascii="Arial" w:eastAsia="Arial" w:hAnsi="Arial" w:cs="Arial"/>
          <w:b/>
          <w:bCs/>
          <w:kern w:val="0"/>
          <w:sz w:val="22"/>
          <w:szCs w:val="22"/>
          <w:lang w:val="en-NZ"/>
          <w14:ligatures w14:val="none"/>
        </w:rPr>
      </w:pPr>
      <w:r w:rsidRPr="00DE44BE">
        <w:rPr>
          <w:rFonts w:ascii="Arial" w:eastAsia="Arial" w:hAnsi="Arial" w:cs="Arial"/>
          <w:b/>
          <w:bCs/>
          <w:kern w:val="0"/>
          <w:sz w:val="22"/>
          <w:szCs w:val="22"/>
          <w:lang w:val="en-NZ"/>
          <w14:ligatures w14:val="none"/>
        </w:rPr>
        <w:t>Breakdown and Summary of Advice</w:t>
      </w:r>
    </w:p>
    <w:tbl>
      <w:tblPr>
        <w:tblStyle w:val="CAANZDefaulttable4"/>
        <w:tblW w:w="5068" w:type="pct"/>
        <w:tblLayout w:type="fixed"/>
        <w:tblLook w:val="04A0" w:firstRow="1" w:lastRow="0" w:firstColumn="1" w:lastColumn="0" w:noHBand="0" w:noVBand="1"/>
      </w:tblPr>
      <w:tblGrid>
        <w:gridCol w:w="1557"/>
        <w:gridCol w:w="4098"/>
        <w:gridCol w:w="1290"/>
        <w:gridCol w:w="1419"/>
        <w:gridCol w:w="1290"/>
      </w:tblGrid>
      <w:tr w:rsidR="00F263A1" w:rsidRPr="00DE44BE" w14:paraId="3E501FDF" w14:textId="77777777" w:rsidTr="00BB64C2">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06" w:type="pct"/>
            <w:noWrap/>
            <w:hideMark/>
          </w:tcPr>
          <w:p w14:paraId="34A8370A" w14:textId="77777777" w:rsidR="007A6526" w:rsidRPr="00DE44BE" w:rsidRDefault="007A6526" w:rsidP="007A6526">
            <w:pPr>
              <w:spacing w:before="40" w:after="120" w:line="240" w:lineRule="auto"/>
              <w:rPr>
                <w:rFonts w:ascii="Arial" w:eastAsia="Times New Roman" w:hAnsi="Arial" w:cs="Arial"/>
                <w:bCs/>
                <w:sz w:val="22"/>
                <w:szCs w:val="22"/>
                <w:lang w:eastAsia="en-AU"/>
              </w:rPr>
            </w:pPr>
            <w:r w:rsidRPr="00DE44BE">
              <w:rPr>
                <w:rFonts w:ascii="Arial" w:eastAsia="Times New Roman" w:hAnsi="Arial" w:cs="Arial"/>
                <w:bCs/>
                <w:sz w:val="22"/>
                <w:szCs w:val="22"/>
                <w:lang w:eastAsia="en-AU"/>
              </w:rPr>
              <w:t>Strategy categories</w:t>
            </w:r>
          </w:p>
        </w:tc>
        <w:tc>
          <w:tcPr>
            <w:tcW w:w="2122" w:type="pct"/>
            <w:noWrap/>
            <w:hideMark/>
          </w:tcPr>
          <w:p w14:paraId="34543B5F" w14:textId="77777777" w:rsidR="007A6526" w:rsidRPr="00DE44BE" w:rsidRDefault="007A6526" w:rsidP="007A6526">
            <w:pPr>
              <w:spacing w:before="40" w:after="120"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sz w:val="22"/>
                <w:szCs w:val="22"/>
                <w:lang w:eastAsia="en-AU"/>
              </w:rPr>
            </w:pPr>
            <w:r w:rsidRPr="00DE44BE">
              <w:rPr>
                <w:rFonts w:ascii="Arial" w:eastAsia="Times New Roman" w:hAnsi="Arial" w:cs="Arial"/>
                <w:bCs/>
                <w:sz w:val="22"/>
                <w:szCs w:val="22"/>
                <w:lang w:eastAsia="en-AU"/>
              </w:rPr>
              <w:t xml:space="preserve">Summary of why advice was </w:t>
            </w:r>
            <w:proofErr w:type="gramStart"/>
            <w:r w:rsidRPr="00DE44BE">
              <w:rPr>
                <w:rFonts w:ascii="Arial" w:eastAsia="Times New Roman" w:hAnsi="Arial" w:cs="Arial"/>
                <w:bCs/>
                <w:sz w:val="22"/>
                <w:szCs w:val="22"/>
                <w:lang w:eastAsia="en-AU"/>
              </w:rPr>
              <w:t>related</w:t>
            </w:r>
            <w:r w:rsidRPr="00DE44BE" w:rsidDel="006E549F">
              <w:rPr>
                <w:rFonts w:ascii="Arial" w:eastAsia="Times New Roman" w:hAnsi="Arial" w:cs="Arial"/>
                <w:bCs/>
                <w:sz w:val="22"/>
                <w:szCs w:val="22"/>
                <w:lang w:eastAsia="en-AU"/>
              </w:rPr>
              <w:t xml:space="preserve"> </w:t>
            </w:r>
            <w:r w:rsidRPr="00DE44BE">
              <w:rPr>
                <w:rFonts w:ascii="Arial" w:eastAsia="Times New Roman" w:hAnsi="Arial" w:cs="Arial"/>
                <w:bCs/>
                <w:sz w:val="22"/>
                <w:szCs w:val="22"/>
                <w:lang w:eastAsia="en-AU"/>
              </w:rPr>
              <w:t xml:space="preserve"> to</w:t>
            </w:r>
            <w:proofErr w:type="gramEnd"/>
            <w:r w:rsidRPr="00DE44BE">
              <w:rPr>
                <w:rFonts w:ascii="Arial" w:eastAsia="Times New Roman" w:hAnsi="Arial" w:cs="Arial"/>
                <w:bCs/>
                <w:sz w:val="22"/>
                <w:szCs w:val="22"/>
                <w:lang w:eastAsia="en-AU"/>
              </w:rPr>
              <w:t xml:space="preserve"> tax affairs </w:t>
            </w:r>
          </w:p>
        </w:tc>
        <w:tc>
          <w:tcPr>
            <w:tcW w:w="668" w:type="pct"/>
            <w:noWrap/>
            <w:hideMark/>
          </w:tcPr>
          <w:p w14:paraId="1E7682F5" w14:textId="77777777" w:rsidR="007A6526" w:rsidRPr="00DE44BE" w:rsidRDefault="007A6526" w:rsidP="007A6526">
            <w:pPr>
              <w:spacing w:before="40" w:after="120"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sz w:val="22"/>
                <w:szCs w:val="22"/>
                <w:lang w:eastAsia="en-AU"/>
              </w:rPr>
            </w:pPr>
            <w:r w:rsidRPr="00DE44BE">
              <w:rPr>
                <w:rFonts w:ascii="Arial" w:eastAsia="Times New Roman" w:hAnsi="Arial" w:cs="Arial"/>
                <w:sz w:val="22"/>
                <w:szCs w:val="22"/>
                <w:lang w:eastAsia="en-AU"/>
              </w:rPr>
              <w:t>Weighting of strategy to advice</w:t>
            </w:r>
            <w:r w:rsidRPr="00DE44BE">
              <w:rPr>
                <w:rFonts w:ascii="Arial" w:eastAsia="Times New Roman" w:hAnsi="Arial" w:cs="Arial"/>
                <w:bCs/>
                <w:sz w:val="22"/>
                <w:szCs w:val="22"/>
                <w:lang w:eastAsia="en-AU"/>
              </w:rPr>
              <w:t xml:space="preserve"> </w:t>
            </w:r>
            <w:r w:rsidRPr="00DE44BE">
              <w:rPr>
                <w:rFonts w:ascii="Arial" w:eastAsia="Times New Roman" w:hAnsi="Arial" w:cs="Arial"/>
                <w:bCs/>
                <w:sz w:val="22"/>
                <w:szCs w:val="22"/>
                <w:lang w:eastAsia="en-AU"/>
              </w:rPr>
              <w:br/>
              <w:t>(0-100%)</w:t>
            </w:r>
          </w:p>
        </w:tc>
        <w:tc>
          <w:tcPr>
            <w:tcW w:w="735" w:type="pct"/>
          </w:tcPr>
          <w:p w14:paraId="438AA381" w14:textId="77777777" w:rsidR="007A6526" w:rsidRPr="00DE44BE" w:rsidRDefault="007A6526" w:rsidP="007A6526">
            <w:pPr>
              <w:spacing w:before="40" w:after="120"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sz w:val="22"/>
                <w:szCs w:val="22"/>
                <w:lang w:eastAsia="en-AU"/>
              </w:rPr>
            </w:pPr>
            <w:r w:rsidRPr="00DE44BE">
              <w:rPr>
                <w:rFonts w:ascii="Arial" w:eastAsia="Times New Roman" w:hAnsi="Arial" w:cs="Arial"/>
                <w:bCs/>
                <w:sz w:val="22"/>
                <w:szCs w:val="22"/>
                <w:lang w:eastAsia="en-AU"/>
              </w:rPr>
              <w:t>Proportion deductible</w:t>
            </w:r>
          </w:p>
        </w:tc>
        <w:tc>
          <w:tcPr>
            <w:tcW w:w="668" w:type="pct"/>
            <w:noWrap/>
            <w:hideMark/>
          </w:tcPr>
          <w:p w14:paraId="38AF760A" w14:textId="77777777" w:rsidR="007A6526" w:rsidRPr="00DE44BE" w:rsidRDefault="007A6526" w:rsidP="007A6526">
            <w:pPr>
              <w:spacing w:before="40" w:after="120"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sz w:val="22"/>
                <w:szCs w:val="22"/>
                <w:lang w:eastAsia="en-AU"/>
              </w:rPr>
            </w:pPr>
            <w:r w:rsidRPr="00DE44BE">
              <w:rPr>
                <w:rFonts w:ascii="Arial" w:eastAsia="Times New Roman" w:hAnsi="Arial" w:cs="Arial"/>
                <w:bCs/>
                <w:sz w:val="22"/>
                <w:szCs w:val="22"/>
                <w:lang w:eastAsia="en-AU"/>
              </w:rPr>
              <w:t>Estimated tax deduction ($)</w:t>
            </w:r>
          </w:p>
        </w:tc>
      </w:tr>
      <w:tr w:rsidR="00F263A1" w:rsidRPr="00DE44BE" w14:paraId="3A0F5269" w14:textId="77777777" w:rsidTr="00BB64C2">
        <w:trPr>
          <w:trHeight w:val="285"/>
        </w:trPr>
        <w:tc>
          <w:tcPr>
            <w:cnfStyle w:val="001000000000" w:firstRow="0" w:lastRow="0" w:firstColumn="1" w:lastColumn="0" w:oddVBand="0" w:evenVBand="0" w:oddHBand="0" w:evenHBand="0" w:firstRowFirstColumn="0" w:firstRowLastColumn="0" w:lastRowFirstColumn="0" w:lastRowLastColumn="0"/>
            <w:tcW w:w="806" w:type="pct"/>
            <w:noWrap/>
            <w:vAlign w:val="center"/>
            <w:hideMark/>
          </w:tcPr>
          <w:p w14:paraId="22E3775E" w14:textId="77777777" w:rsidR="007A6526" w:rsidRPr="00DE44BE" w:rsidRDefault="007A6526" w:rsidP="007A6526">
            <w:pPr>
              <w:spacing w:before="40" w:after="120" w:line="240" w:lineRule="auto"/>
              <w:rPr>
                <w:rFonts w:eastAsia="Times New Roman" w:cs="Arial"/>
                <w:bCs/>
                <w:sz w:val="22"/>
                <w:szCs w:val="22"/>
                <w:lang w:eastAsia="en-AU"/>
              </w:rPr>
            </w:pPr>
            <w:r w:rsidRPr="00DE44BE">
              <w:rPr>
                <w:rFonts w:eastAsia="Times New Roman" w:cs="Arial"/>
                <w:bCs/>
                <w:sz w:val="22"/>
                <w:szCs w:val="22"/>
                <w:lang w:eastAsia="en-AU"/>
              </w:rPr>
              <w:t>Bank acct structures</w:t>
            </w:r>
          </w:p>
        </w:tc>
        <w:tc>
          <w:tcPr>
            <w:tcW w:w="2122" w:type="pct"/>
            <w:noWrap/>
            <w:vAlign w:val="center"/>
          </w:tcPr>
          <w:p w14:paraId="0B672453" w14:textId="469EDD40" w:rsidR="007A6526" w:rsidRPr="00DE44BE" w:rsidRDefault="007A6526" w:rsidP="007A6526">
            <w:pPr>
              <w:spacing w:before="4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en-AU"/>
              </w:rPr>
            </w:pPr>
            <w:r w:rsidRPr="00DE44BE">
              <w:rPr>
                <w:rFonts w:eastAsia="Times New Roman" w:cs="Arial"/>
                <w:sz w:val="22"/>
                <w:szCs w:val="22"/>
                <w:lang w:eastAsia="en-AU"/>
              </w:rPr>
              <w:t xml:space="preserve">Use of mortgage offset accounts reduces assessable income and tax obligations </w:t>
            </w:r>
            <w:r w:rsidR="00A4350F">
              <w:rPr>
                <w:rFonts w:eastAsia="Times New Roman" w:cs="Arial"/>
                <w:sz w:val="22"/>
                <w:szCs w:val="22"/>
                <w:lang w:eastAsia="en-AU"/>
              </w:rPr>
              <w:t>(s 25-5)</w:t>
            </w:r>
          </w:p>
        </w:tc>
        <w:tc>
          <w:tcPr>
            <w:tcW w:w="668" w:type="pct"/>
            <w:noWrap/>
            <w:vAlign w:val="center"/>
            <w:hideMark/>
          </w:tcPr>
          <w:p w14:paraId="0EE92918" w14:textId="77777777" w:rsidR="007A6526" w:rsidRPr="00DE44BE" w:rsidRDefault="007A6526" w:rsidP="007A6526">
            <w:pPr>
              <w:spacing w:before="4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en-AU"/>
              </w:rPr>
            </w:pPr>
            <w:r w:rsidRPr="00DE44BE">
              <w:rPr>
                <w:rFonts w:eastAsia="Times New Roman" w:cs="Arial"/>
                <w:sz w:val="22"/>
                <w:szCs w:val="22"/>
                <w:lang w:eastAsia="en-AU"/>
              </w:rPr>
              <w:t>5%</w:t>
            </w:r>
          </w:p>
        </w:tc>
        <w:tc>
          <w:tcPr>
            <w:tcW w:w="735" w:type="pct"/>
            <w:vAlign w:val="center"/>
          </w:tcPr>
          <w:p w14:paraId="21DA4640" w14:textId="77777777" w:rsidR="007A6526" w:rsidRPr="00DE44BE" w:rsidRDefault="007A6526" w:rsidP="007A6526">
            <w:pPr>
              <w:spacing w:before="4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en-AU"/>
              </w:rPr>
            </w:pPr>
            <w:r w:rsidRPr="00DE44BE">
              <w:rPr>
                <w:rFonts w:eastAsia="Times New Roman" w:cs="Arial"/>
                <w:sz w:val="22"/>
                <w:szCs w:val="22"/>
                <w:lang w:eastAsia="en-AU"/>
              </w:rPr>
              <w:t>20%</w:t>
            </w:r>
          </w:p>
        </w:tc>
        <w:tc>
          <w:tcPr>
            <w:tcW w:w="668" w:type="pct"/>
            <w:noWrap/>
            <w:vAlign w:val="center"/>
            <w:hideMark/>
          </w:tcPr>
          <w:p w14:paraId="4DC5D87F" w14:textId="77777777" w:rsidR="007A6526" w:rsidRPr="00DE44BE" w:rsidRDefault="007A6526" w:rsidP="007A6526">
            <w:pPr>
              <w:spacing w:before="4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en-AU"/>
              </w:rPr>
            </w:pPr>
            <w:r w:rsidRPr="00DE44BE">
              <w:rPr>
                <w:rFonts w:eastAsia="Times New Roman" w:cs="Arial"/>
                <w:sz w:val="22"/>
                <w:szCs w:val="22"/>
                <w:lang w:eastAsia="en-AU"/>
              </w:rPr>
              <w:t xml:space="preserve">88.00   </w:t>
            </w:r>
          </w:p>
        </w:tc>
      </w:tr>
      <w:tr w:rsidR="00F263A1" w:rsidRPr="00DE44BE" w14:paraId="3820220F" w14:textId="77777777" w:rsidTr="00BB64C2">
        <w:trPr>
          <w:trHeight w:val="285"/>
        </w:trPr>
        <w:tc>
          <w:tcPr>
            <w:cnfStyle w:val="001000000000" w:firstRow="0" w:lastRow="0" w:firstColumn="1" w:lastColumn="0" w:oddVBand="0" w:evenVBand="0" w:oddHBand="0" w:evenHBand="0" w:firstRowFirstColumn="0" w:firstRowLastColumn="0" w:lastRowFirstColumn="0" w:lastRowLastColumn="0"/>
            <w:tcW w:w="806" w:type="pct"/>
            <w:noWrap/>
            <w:vAlign w:val="center"/>
            <w:hideMark/>
          </w:tcPr>
          <w:p w14:paraId="78D94A8D" w14:textId="77777777" w:rsidR="007A6526" w:rsidRPr="00DE44BE" w:rsidRDefault="007A6526" w:rsidP="007A6526">
            <w:pPr>
              <w:spacing w:before="40" w:after="120" w:line="240" w:lineRule="auto"/>
              <w:rPr>
                <w:rFonts w:eastAsia="Times New Roman" w:cs="Arial"/>
                <w:bCs/>
                <w:sz w:val="22"/>
                <w:szCs w:val="22"/>
                <w:lang w:eastAsia="en-AU"/>
              </w:rPr>
            </w:pPr>
            <w:r w:rsidRPr="00DE44BE">
              <w:rPr>
                <w:rFonts w:eastAsia="Times New Roman" w:cs="Arial"/>
                <w:bCs/>
                <w:sz w:val="22"/>
                <w:szCs w:val="22"/>
                <w:lang w:eastAsia="en-AU"/>
              </w:rPr>
              <w:t xml:space="preserve">Budgeting </w:t>
            </w:r>
          </w:p>
        </w:tc>
        <w:tc>
          <w:tcPr>
            <w:tcW w:w="2122" w:type="pct"/>
            <w:noWrap/>
            <w:vAlign w:val="center"/>
          </w:tcPr>
          <w:p w14:paraId="430DFD35" w14:textId="77777777" w:rsidR="007A6526" w:rsidRPr="00DE44BE" w:rsidRDefault="007A6526" w:rsidP="007A6526">
            <w:pPr>
              <w:spacing w:before="4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en-AU"/>
              </w:rPr>
            </w:pPr>
            <w:r w:rsidRPr="00DE44BE">
              <w:rPr>
                <w:rFonts w:eastAsia="Times New Roman" w:cs="Arial"/>
                <w:sz w:val="22"/>
                <w:szCs w:val="22"/>
                <w:lang w:eastAsia="en-AU"/>
              </w:rPr>
              <w:t>Not related to tax affairs</w:t>
            </w:r>
          </w:p>
        </w:tc>
        <w:tc>
          <w:tcPr>
            <w:tcW w:w="668" w:type="pct"/>
            <w:noWrap/>
            <w:vAlign w:val="center"/>
            <w:hideMark/>
          </w:tcPr>
          <w:p w14:paraId="0AB7A902" w14:textId="77777777" w:rsidR="007A6526" w:rsidRPr="00DE44BE" w:rsidRDefault="007A6526" w:rsidP="007A6526">
            <w:pPr>
              <w:spacing w:before="4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en-AU"/>
              </w:rPr>
            </w:pPr>
            <w:r w:rsidRPr="00DE44BE">
              <w:rPr>
                <w:rFonts w:eastAsia="Times New Roman" w:cs="Arial"/>
                <w:sz w:val="22"/>
                <w:szCs w:val="22"/>
                <w:lang w:eastAsia="en-AU"/>
              </w:rPr>
              <w:t>5%</w:t>
            </w:r>
          </w:p>
        </w:tc>
        <w:tc>
          <w:tcPr>
            <w:tcW w:w="735" w:type="pct"/>
            <w:vAlign w:val="center"/>
          </w:tcPr>
          <w:p w14:paraId="42DB6188" w14:textId="0D4ABF81" w:rsidR="007A6526" w:rsidRPr="00DE44BE" w:rsidRDefault="00D93DA3" w:rsidP="007A6526">
            <w:pPr>
              <w:spacing w:before="4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en-AU"/>
              </w:rPr>
            </w:pPr>
            <w:r>
              <w:rPr>
                <w:rFonts w:eastAsia="Times New Roman" w:cs="Arial"/>
                <w:sz w:val="22"/>
                <w:szCs w:val="22"/>
                <w:lang w:eastAsia="en-AU"/>
              </w:rPr>
              <w:t>Nil</w:t>
            </w:r>
          </w:p>
        </w:tc>
        <w:tc>
          <w:tcPr>
            <w:tcW w:w="668" w:type="pct"/>
            <w:noWrap/>
            <w:vAlign w:val="center"/>
            <w:hideMark/>
          </w:tcPr>
          <w:p w14:paraId="753973E6" w14:textId="77777777" w:rsidR="007A6526" w:rsidRPr="00DE44BE" w:rsidRDefault="007A6526" w:rsidP="007A6526">
            <w:pPr>
              <w:spacing w:before="4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en-AU"/>
              </w:rPr>
            </w:pPr>
            <w:r w:rsidRPr="00DE44BE">
              <w:rPr>
                <w:rFonts w:eastAsia="Times New Roman" w:cs="Arial"/>
                <w:sz w:val="22"/>
                <w:szCs w:val="22"/>
                <w:lang w:eastAsia="en-AU"/>
              </w:rPr>
              <w:t xml:space="preserve">-   </w:t>
            </w:r>
          </w:p>
        </w:tc>
      </w:tr>
      <w:tr w:rsidR="00F263A1" w:rsidRPr="00DE44BE" w14:paraId="68B56509" w14:textId="77777777" w:rsidTr="00BB64C2">
        <w:trPr>
          <w:trHeight w:val="285"/>
        </w:trPr>
        <w:tc>
          <w:tcPr>
            <w:cnfStyle w:val="001000000000" w:firstRow="0" w:lastRow="0" w:firstColumn="1" w:lastColumn="0" w:oddVBand="0" w:evenVBand="0" w:oddHBand="0" w:evenHBand="0" w:firstRowFirstColumn="0" w:firstRowLastColumn="0" w:lastRowFirstColumn="0" w:lastRowLastColumn="0"/>
            <w:tcW w:w="806" w:type="pct"/>
            <w:noWrap/>
            <w:vAlign w:val="center"/>
            <w:hideMark/>
          </w:tcPr>
          <w:p w14:paraId="43C77BAE" w14:textId="77777777" w:rsidR="007A6526" w:rsidRPr="00DE44BE" w:rsidRDefault="007A6526" w:rsidP="007A6526">
            <w:pPr>
              <w:spacing w:before="40" w:after="120" w:line="240" w:lineRule="auto"/>
              <w:rPr>
                <w:rFonts w:eastAsia="Times New Roman" w:cs="Arial"/>
                <w:bCs/>
                <w:sz w:val="22"/>
                <w:szCs w:val="22"/>
                <w:lang w:eastAsia="en-AU"/>
              </w:rPr>
            </w:pPr>
            <w:r w:rsidRPr="00DE44BE">
              <w:rPr>
                <w:rFonts w:eastAsia="Times New Roman" w:cs="Arial"/>
                <w:bCs/>
                <w:sz w:val="22"/>
                <w:szCs w:val="22"/>
                <w:lang w:eastAsia="en-AU"/>
              </w:rPr>
              <w:lastRenderedPageBreak/>
              <w:t>Financial modelling</w:t>
            </w:r>
          </w:p>
        </w:tc>
        <w:tc>
          <w:tcPr>
            <w:tcW w:w="2122" w:type="pct"/>
            <w:noWrap/>
            <w:vAlign w:val="center"/>
          </w:tcPr>
          <w:p w14:paraId="56E0A112" w14:textId="2892FA43" w:rsidR="007A6526" w:rsidRPr="00DE44BE" w:rsidRDefault="007A6526" w:rsidP="007A6526">
            <w:pPr>
              <w:spacing w:before="4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en-AU"/>
              </w:rPr>
            </w:pPr>
            <w:r w:rsidRPr="00DE44BE">
              <w:rPr>
                <w:rFonts w:eastAsia="Times New Roman" w:cs="Arial"/>
                <w:sz w:val="22"/>
                <w:szCs w:val="22"/>
                <w:lang w:eastAsia="en-AU"/>
              </w:rPr>
              <w:t>Financial modelling that considered and calculated the tax payable now and over time for all strategies (s 25-5)</w:t>
            </w:r>
          </w:p>
        </w:tc>
        <w:tc>
          <w:tcPr>
            <w:tcW w:w="668" w:type="pct"/>
            <w:noWrap/>
            <w:vAlign w:val="center"/>
            <w:hideMark/>
          </w:tcPr>
          <w:p w14:paraId="029007BC" w14:textId="77777777" w:rsidR="007A6526" w:rsidRPr="00DE44BE" w:rsidRDefault="007A6526" w:rsidP="007A6526">
            <w:pPr>
              <w:spacing w:before="4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en-AU"/>
              </w:rPr>
            </w:pPr>
            <w:r w:rsidRPr="00DE44BE">
              <w:rPr>
                <w:rFonts w:eastAsia="Times New Roman" w:cs="Arial"/>
                <w:sz w:val="22"/>
                <w:szCs w:val="22"/>
                <w:lang w:eastAsia="en-AU"/>
              </w:rPr>
              <w:t>10%</w:t>
            </w:r>
          </w:p>
        </w:tc>
        <w:tc>
          <w:tcPr>
            <w:tcW w:w="735" w:type="pct"/>
            <w:vAlign w:val="center"/>
          </w:tcPr>
          <w:p w14:paraId="6A8562C1" w14:textId="77777777" w:rsidR="007A6526" w:rsidRPr="00DE44BE" w:rsidRDefault="007A6526" w:rsidP="007A6526">
            <w:pPr>
              <w:spacing w:before="4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en-AU"/>
              </w:rPr>
            </w:pPr>
            <w:r w:rsidRPr="00DE44BE">
              <w:rPr>
                <w:rFonts w:eastAsia="Times New Roman" w:cs="Arial"/>
                <w:sz w:val="22"/>
                <w:szCs w:val="22"/>
                <w:lang w:eastAsia="en-AU"/>
              </w:rPr>
              <w:t>100%</w:t>
            </w:r>
          </w:p>
        </w:tc>
        <w:tc>
          <w:tcPr>
            <w:tcW w:w="668" w:type="pct"/>
            <w:noWrap/>
            <w:vAlign w:val="center"/>
            <w:hideMark/>
          </w:tcPr>
          <w:p w14:paraId="1A2A6D72" w14:textId="77777777" w:rsidR="007A6526" w:rsidRPr="00DE44BE" w:rsidRDefault="007A6526" w:rsidP="007A6526">
            <w:pPr>
              <w:spacing w:before="4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en-AU"/>
              </w:rPr>
            </w:pPr>
            <w:r w:rsidRPr="00DE44BE">
              <w:rPr>
                <w:rFonts w:eastAsia="Times New Roman" w:cs="Arial"/>
                <w:sz w:val="22"/>
                <w:szCs w:val="22"/>
                <w:lang w:eastAsia="en-AU"/>
              </w:rPr>
              <w:t xml:space="preserve">880.00 </w:t>
            </w:r>
          </w:p>
        </w:tc>
      </w:tr>
      <w:tr w:rsidR="00F263A1" w:rsidRPr="00DE44BE" w14:paraId="01F13DE0" w14:textId="77777777" w:rsidTr="00BB64C2">
        <w:trPr>
          <w:trHeight w:val="285"/>
        </w:trPr>
        <w:tc>
          <w:tcPr>
            <w:cnfStyle w:val="001000000000" w:firstRow="0" w:lastRow="0" w:firstColumn="1" w:lastColumn="0" w:oddVBand="0" w:evenVBand="0" w:oddHBand="0" w:evenHBand="0" w:firstRowFirstColumn="0" w:firstRowLastColumn="0" w:lastRowFirstColumn="0" w:lastRowLastColumn="0"/>
            <w:tcW w:w="806" w:type="pct"/>
            <w:noWrap/>
            <w:vAlign w:val="center"/>
            <w:hideMark/>
          </w:tcPr>
          <w:p w14:paraId="11F1F412" w14:textId="77777777" w:rsidR="007A6526" w:rsidRPr="00DE44BE" w:rsidRDefault="007A6526" w:rsidP="007A6526">
            <w:pPr>
              <w:spacing w:before="40" w:after="120" w:line="240" w:lineRule="auto"/>
              <w:rPr>
                <w:rFonts w:eastAsia="Times New Roman" w:cs="Arial"/>
                <w:bCs/>
                <w:sz w:val="22"/>
                <w:szCs w:val="22"/>
                <w:lang w:eastAsia="en-AU"/>
              </w:rPr>
            </w:pPr>
            <w:r w:rsidRPr="00DE44BE">
              <w:rPr>
                <w:rFonts w:eastAsia="Times New Roman" w:cs="Arial"/>
                <w:bCs/>
                <w:sz w:val="22"/>
                <w:szCs w:val="22"/>
                <w:lang w:eastAsia="en-AU"/>
              </w:rPr>
              <w:t>Product switches</w:t>
            </w:r>
          </w:p>
        </w:tc>
        <w:tc>
          <w:tcPr>
            <w:tcW w:w="2122" w:type="pct"/>
            <w:noWrap/>
            <w:vAlign w:val="center"/>
          </w:tcPr>
          <w:p w14:paraId="0A2D1C4D" w14:textId="77777777" w:rsidR="007A6526" w:rsidRPr="00DE44BE" w:rsidRDefault="007A6526" w:rsidP="007A6526">
            <w:pPr>
              <w:spacing w:before="4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en-AU"/>
              </w:rPr>
            </w:pPr>
            <w:r w:rsidRPr="00DE44BE">
              <w:rPr>
                <w:rFonts w:eastAsia="Times New Roman" w:cs="Arial"/>
                <w:sz w:val="22"/>
                <w:szCs w:val="22"/>
                <w:lang w:eastAsia="en-AU"/>
              </w:rPr>
              <w:t>Not related to tax affairs</w:t>
            </w:r>
          </w:p>
        </w:tc>
        <w:tc>
          <w:tcPr>
            <w:tcW w:w="668" w:type="pct"/>
            <w:noWrap/>
            <w:vAlign w:val="center"/>
            <w:hideMark/>
          </w:tcPr>
          <w:p w14:paraId="7FA36D91" w14:textId="77777777" w:rsidR="007A6526" w:rsidRPr="00DE44BE" w:rsidRDefault="007A6526" w:rsidP="007A6526">
            <w:pPr>
              <w:spacing w:before="4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en-AU"/>
              </w:rPr>
            </w:pPr>
            <w:r w:rsidRPr="00DE44BE">
              <w:rPr>
                <w:rFonts w:eastAsia="Times New Roman" w:cs="Arial"/>
                <w:sz w:val="22"/>
                <w:szCs w:val="22"/>
                <w:lang w:eastAsia="en-AU"/>
              </w:rPr>
              <w:t>5%</w:t>
            </w:r>
          </w:p>
        </w:tc>
        <w:tc>
          <w:tcPr>
            <w:tcW w:w="735" w:type="pct"/>
            <w:vAlign w:val="center"/>
          </w:tcPr>
          <w:p w14:paraId="3BAF4B56" w14:textId="1B86346F" w:rsidR="007A6526" w:rsidRPr="00DE44BE" w:rsidRDefault="00D93DA3" w:rsidP="007A6526">
            <w:pPr>
              <w:spacing w:before="4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en-AU"/>
              </w:rPr>
            </w:pPr>
            <w:r>
              <w:rPr>
                <w:rFonts w:eastAsia="Times New Roman" w:cs="Arial"/>
                <w:sz w:val="22"/>
                <w:szCs w:val="22"/>
                <w:lang w:eastAsia="en-AU"/>
              </w:rPr>
              <w:t>Nil</w:t>
            </w:r>
          </w:p>
        </w:tc>
        <w:tc>
          <w:tcPr>
            <w:tcW w:w="668" w:type="pct"/>
            <w:noWrap/>
            <w:vAlign w:val="center"/>
            <w:hideMark/>
          </w:tcPr>
          <w:p w14:paraId="4EE9FF3A" w14:textId="77777777" w:rsidR="007A6526" w:rsidRPr="00DE44BE" w:rsidRDefault="007A6526" w:rsidP="007A6526">
            <w:pPr>
              <w:spacing w:before="4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en-AU"/>
              </w:rPr>
            </w:pPr>
            <w:r w:rsidRPr="00DE44BE">
              <w:rPr>
                <w:rFonts w:eastAsia="Times New Roman" w:cs="Arial"/>
                <w:sz w:val="22"/>
                <w:szCs w:val="22"/>
                <w:lang w:eastAsia="en-AU"/>
              </w:rPr>
              <w:t xml:space="preserve">-   </w:t>
            </w:r>
          </w:p>
        </w:tc>
      </w:tr>
      <w:tr w:rsidR="00F263A1" w:rsidRPr="00DE44BE" w14:paraId="3482E326" w14:textId="77777777" w:rsidTr="00BB64C2">
        <w:trPr>
          <w:trHeight w:val="285"/>
        </w:trPr>
        <w:tc>
          <w:tcPr>
            <w:cnfStyle w:val="001000000000" w:firstRow="0" w:lastRow="0" w:firstColumn="1" w:lastColumn="0" w:oddVBand="0" w:evenVBand="0" w:oddHBand="0" w:evenHBand="0" w:firstRowFirstColumn="0" w:firstRowLastColumn="0" w:lastRowFirstColumn="0" w:lastRowLastColumn="0"/>
            <w:tcW w:w="806" w:type="pct"/>
            <w:noWrap/>
            <w:vAlign w:val="center"/>
            <w:hideMark/>
          </w:tcPr>
          <w:p w14:paraId="1EDF59C6" w14:textId="4FBB19B7" w:rsidR="007A6526" w:rsidRPr="00DE44BE" w:rsidRDefault="007A6526" w:rsidP="007A6526">
            <w:pPr>
              <w:spacing w:before="40" w:after="120" w:line="240" w:lineRule="auto"/>
              <w:rPr>
                <w:rFonts w:eastAsia="Times New Roman" w:cs="Arial"/>
                <w:bCs/>
                <w:sz w:val="22"/>
                <w:szCs w:val="22"/>
                <w:lang w:eastAsia="en-AU"/>
              </w:rPr>
            </w:pPr>
            <w:r w:rsidRPr="00DE44BE">
              <w:rPr>
                <w:rFonts w:eastAsia="Times New Roman" w:cs="Arial"/>
                <w:bCs/>
                <w:sz w:val="22"/>
                <w:szCs w:val="22"/>
                <w:lang w:eastAsia="en-AU"/>
              </w:rPr>
              <w:t>Super contribution</w:t>
            </w:r>
          </w:p>
        </w:tc>
        <w:tc>
          <w:tcPr>
            <w:tcW w:w="2122" w:type="pct"/>
            <w:noWrap/>
            <w:vAlign w:val="center"/>
            <w:hideMark/>
          </w:tcPr>
          <w:p w14:paraId="7983B887" w14:textId="6750F9FB" w:rsidR="007A6526" w:rsidRPr="00DE44BE" w:rsidRDefault="007A6526" w:rsidP="007A6526">
            <w:pPr>
              <w:spacing w:before="4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en-AU"/>
              </w:rPr>
            </w:pPr>
            <w:r w:rsidRPr="00DE44BE">
              <w:rPr>
                <w:rFonts w:eastAsia="Times New Roman" w:cs="Arial"/>
                <w:sz w:val="22"/>
                <w:szCs w:val="22"/>
                <w:lang w:eastAsia="en-AU"/>
              </w:rPr>
              <w:t>Considered existing and proposed superannuation contributions and its impact on taxable income and the taxation of those funds in the superannuation environment in comparison to the personal tax environment (s 25-5)</w:t>
            </w:r>
          </w:p>
        </w:tc>
        <w:tc>
          <w:tcPr>
            <w:tcW w:w="668" w:type="pct"/>
            <w:noWrap/>
            <w:vAlign w:val="center"/>
            <w:hideMark/>
          </w:tcPr>
          <w:p w14:paraId="4D4AFB58" w14:textId="77777777" w:rsidR="007A6526" w:rsidRPr="00DE44BE" w:rsidRDefault="007A6526" w:rsidP="007A6526">
            <w:pPr>
              <w:spacing w:before="4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en-AU"/>
              </w:rPr>
            </w:pPr>
            <w:r w:rsidRPr="00DE44BE">
              <w:rPr>
                <w:rFonts w:eastAsia="Times New Roman" w:cs="Arial"/>
                <w:sz w:val="22"/>
                <w:szCs w:val="22"/>
                <w:lang w:eastAsia="en-AU"/>
              </w:rPr>
              <w:t>10%</w:t>
            </w:r>
          </w:p>
        </w:tc>
        <w:tc>
          <w:tcPr>
            <w:tcW w:w="735" w:type="pct"/>
            <w:vAlign w:val="center"/>
          </w:tcPr>
          <w:p w14:paraId="509932D0" w14:textId="77777777" w:rsidR="007A6526" w:rsidRPr="00DE44BE" w:rsidRDefault="007A6526" w:rsidP="007A6526">
            <w:pPr>
              <w:spacing w:before="4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en-AU"/>
              </w:rPr>
            </w:pPr>
            <w:r w:rsidRPr="00DE44BE">
              <w:rPr>
                <w:rFonts w:eastAsia="Times New Roman" w:cs="Arial"/>
                <w:sz w:val="22"/>
                <w:szCs w:val="22"/>
                <w:lang w:eastAsia="en-AU"/>
              </w:rPr>
              <w:t>100%</w:t>
            </w:r>
          </w:p>
        </w:tc>
        <w:tc>
          <w:tcPr>
            <w:tcW w:w="668" w:type="pct"/>
            <w:noWrap/>
            <w:vAlign w:val="center"/>
            <w:hideMark/>
          </w:tcPr>
          <w:p w14:paraId="203F3938" w14:textId="77777777" w:rsidR="007A6526" w:rsidRPr="00DE44BE" w:rsidRDefault="007A6526" w:rsidP="007A6526">
            <w:pPr>
              <w:spacing w:before="4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en-AU"/>
              </w:rPr>
            </w:pPr>
            <w:r w:rsidRPr="00DE44BE">
              <w:rPr>
                <w:rFonts w:eastAsia="Times New Roman" w:cs="Arial"/>
                <w:sz w:val="22"/>
                <w:szCs w:val="22"/>
                <w:lang w:eastAsia="en-AU"/>
              </w:rPr>
              <w:t xml:space="preserve">880.00 </w:t>
            </w:r>
          </w:p>
        </w:tc>
      </w:tr>
      <w:tr w:rsidR="00F263A1" w:rsidRPr="00DE44BE" w14:paraId="1A4556C9" w14:textId="77777777" w:rsidTr="00BB64C2">
        <w:trPr>
          <w:trHeight w:val="285"/>
        </w:trPr>
        <w:tc>
          <w:tcPr>
            <w:cnfStyle w:val="001000000000" w:firstRow="0" w:lastRow="0" w:firstColumn="1" w:lastColumn="0" w:oddVBand="0" w:evenVBand="0" w:oddHBand="0" w:evenHBand="0" w:firstRowFirstColumn="0" w:firstRowLastColumn="0" w:lastRowFirstColumn="0" w:lastRowLastColumn="0"/>
            <w:tcW w:w="806" w:type="pct"/>
            <w:noWrap/>
            <w:vAlign w:val="center"/>
            <w:hideMark/>
          </w:tcPr>
          <w:p w14:paraId="1C50FF6D" w14:textId="77777777" w:rsidR="007A6526" w:rsidRPr="00DE44BE" w:rsidRDefault="007A6526" w:rsidP="007A6526">
            <w:pPr>
              <w:spacing w:before="40" w:after="120" w:line="240" w:lineRule="auto"/>
              <w:rPr>
                <w:rFonts w:eastAsia="Times New Roman" w:cs="Arial"/>
                <w:bCs/>
                <w:sz w:val="22"/>
                <w:szCs w:val="22"/>
                <w:lang w:eastAsia="en-AU"/>
              </w:rPr>
            </w:pPr>
            <w:r w:rsidRPr="00DE44BE">
              <w:rPr>
                <w:rFonts w:eastAsia="Times New Roman" w:cs="Arial"/>
                <w:bCs/>
                <w:sz w:val="22"/>
                <w:szCs w:val="22"/>
                <w:lang w:eastAsia="en-AU"/>
              </w:rPr>
              <w:t>Investment (shares, managed funds etc.)</w:t>
            </w:r>
          </w:p>
        </w:tc>
        <w:tc>
          <w:tcPr>
            <w:tcW w:w="2122" w:type="pct"/>
            <w:noWrap/>
            <w:vAlign w:val="center"/>
            <w:hideMark/>
          </w:tcPr>
          <w:p w14:paraId="6A63AB2C" w14:textId="77777777" w:rsidR="007A6526" w:rsidRPr="00DE44BE" w:rsidRDefault="007A6526" w:rsidP="007A6526">
            <w:pPr>
              <w:spacing w:before="4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en-AU"/>
              </w:rPr>
            </w:pPr>
            <w:r w:rsidRPr="00DE44BE">
              <w:rPr>
                <w:rFonts w:eastAsia="Times New Roman" w:cs="Arial"/>
                <w:sz w:val="22"/>
                <w:szCs w:val="22"/>
                <w:lang w:eastAsia="en-AU"/>
              </w:rPr>
              <w:t>Investment ownership considerations: understanding existing tax situation, considering alternative options and their tax implications specifically around not investing (paying off debt) family trusts, capital gains and taxable income and recommendations for personally held investments with consideration to taxable income (s 8-1 and s 25-5)</w:t>
            </w:r>
          </w:p>
        </w:tc>
        <w:tc>
          <w:tcPr>
            <w:tcW w:w="668" w:type="pct"/>
            <w:noWrap/>
            <w:vAlign w:val="center"/>
            <w:hideMark/>
          </w:tcPr>
          <w:p w14:paraId="0CAAA821" w14:textId="77777777" w:rsidR="007A6526" w:rsidRPr="00DE44BE" w:rsidRDefault="007A6526" w:rsidP="007A6526">
            <w:pPr>
              <w:spacing w:before="4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en-AU"/>
              </w:rPr>
            </w:pPr>
            <w:r w:rsidRPr="00DE44BE">
              <w:rPr>
                <w:rFonts w:eastAsia="Times New Roman" w:cs="Arial"/>
                <w:sz w:val="22"/>
                <w:szCs w:val="22"/>
                <w:lang w:eastAsia="en-AU"/>
              </w:rPr>
              <w:t>20%</w:t>
            </w:r>
          </w:p>
        </w:tc>
        <w:tc>
          <w:tcPr>
            <w:tcW w:w="735" w:type="pct"/>
            <w:vAlign w:val="center"/>
          </w:tcPr>
          <w:p w14:paraId="0A00B81C" w14:textId="77777777" w:rsidR="007A6526" w:rsidRPr="00DE44BE" w:rsidRDefault="007A6526" w:rsidP="007A6526">
            <w:pPr>
              <w:spacing w:before="4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en-AU"/>
              </w:rPr>
            </w:pPr>
            <w:r w:rsidRPr="00DE44BE">
              <w:rPr>
                <w:rFonts w:eastAsia="Times New Roman" w:cs="Arial"/>
                <w:sz w:val="22"/>
                <w:szCs w:val="22"/>
                <w:lang w:eastAsia="en-AU"/>
              </w:rPr>
              <w:t>80%</w:t>
            </w:r>
          </w:p>
        </w:tc>
        <w:tc>
          <w:tcPr>
            <w:tcW w:w="668" w:type="pct"/>
            <w:noWrap/>
            <w:vAlign w:val="center"/>
            <w:hideMark/>
          </w:tcPr>
          <w:p w14:paraId="58A3AD89" w14:textId="77777777" w:rsidR="007A6526" w:rsidRPr="00DE44BE" w:rsidRDefault="007A6526" w:rsidP="007A6526">
            <w:pPr>
              <w:spacing w:before="4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en-AU"/>
              </w:rPr>
            </w:pPr>
            <w:r w:rsidRPr="00DE44BE">
              <w:rPr>
                <w:rFonts w:eastAsia="Times New Roman" w:cs="Arial"/>
                <w:sz w:val="22"/>
                <w:szCs w:val="22"/>
                <w:lang w:eastAsia="en-AU"/>
              </w:rPr>
              <w:t xml:space="preserve">1,408.00 </w:t>
            </w:r>
          </w:p>
        </w:tc>
      </w:tr>
      <w:tr w:rsidR="00F263A1" w:rsidRPr="00DE44BE" w14:paraId="09070BD6" w14:textId="77777777" w:rsidTr="00BB64C2">
        <w:trPr>
          <w:trHeight w:val="285"/>
        </w:trPr>
        <w:tc>
          <w:tcPr>
            <w:cnfStyle w:val="001000000000" w:firstRow="0" w:lastRow="0" w:firstColumn="1" w:lastColumn="0" w:oddVBand="0" w:evenVBand="0" w:oddHBand="0" w:evenHBand="0" w:firstRowFirstColumn="0" w:firstRowLastColumn="0" w:lastRowFirstColumn="0" w:lastRowLastColumn="0"/>
            <w:tcW w:w="806" w:type="pct"/>
            <w:noWrap/>
            <w:vAlign w:val="center"/>
            <w:hideMark/>
          </w:tcPr>
          <w:p w14:paraId="711F13B7" w14:textId="77777777" w:rsidR="007A6526" w:rsidRPr="00DE44BE" w:rsidRDefault="007A6526" w:rsidP="007A6526">
            <w:pPr>
              <w:spacing w:before="40" w:after="120" w:line="240" w:lineRule="auto"/>
              <w:rPr>
                <w:rFonts w:eastAsia="Times New Roman" w:cs="Arial"/>
                <w:bCs/>
                <w:sz w:val="22"/>
                <w:szCs w:val="22"/>
                <w:lang w:eastAsia="en-AU"/>
              </w:rPr>
            </w:pPr>
            <w:r w:rsidRPr="00DE44BE">
              <w:rPr>
                <w:rFonts w:eastAsia="Times New Roman" w:cs="Arial"/>
                <w:bCs/>
                <w:sz w:val="22"/>
                <w:szCs w:val="22"/>
                <w:lang w:eastAsia="en-AU"/>
              </w:rPr>
              <w:t>Investment &amp; education bond</w:t>
            </w:r>
          </w:p>
        </w:tc>
        <w:tc>
          <w:tcPr>
            <w:tcW w:w="2122" w:type="pct"/>
            <w:noWrap/>
            <w:vAlign w:val="center"/>
            <w:hideMark/>
          </w:tcPr>
          <w:p w14:paraId="5044443F" w14:textId="77777777" w:rsidR="007A6526" w:rsidRPr="00DE44BE" w:rsidRDefault="007A6526" w:rsidP="007A6526">
            <w:pPr>
              <w:spacing w:before="4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en-AU"/>
              </w:rPr>
            </w:pPr>
            <w:r w:rsidRPr="00DE44BE">
              <w:rPr>
                <w:rFonts w:eastAsia="Times New Roman" w:cs="Arial"/>
                <w:sz w:val="22"/>
                <w:szCs w:val="22"/>
                <w:lang w:eastAsia="en-AU"/>
              </w:rPr>
              <w:t>Investment ownership considerations: understanding existing tax situation, considering alternative options and their tax implications specifically around not investing (paying off debt) family trusts, capital gains and taxable income and recommendations for personally held investments with consideration to taxable income (s 25-5)</w:t>
            </w:r>
          </w:p>
        </w:tc>
        <w:tc>
          <w:tcPr>
            <w:tcW w:w="668" w:type="pct"/>
            <w:noWrap/>
            <w:vAlign w:val="center"/>
            <w:hideMark/>
          </w:tcPr>
          <w:p w14:paraId="65FB0CF6" w14:textId="77777777" w:rsidR="007A6526" w:rsidRPr="00DE44BE" w:rsidRDefault="007A6526" w:rsidP="007A6526">
            <w:pPr>
              <w:spacing w:before="4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en-AU"/>
              </w:rPr>
            </w:pPr>
            <w:r w:rsidRPr="00DE44BE">
              <w:rPr>
                <w:rFonts w:eastAsia="Times New Roman" w:cs="Arial"/>
                <w:sz w:val="22"/>
                <w:szCs w:val="22"/>
                <w:lang w:eastAsia="en-AU"/>
              </w:rPr>
              <w:t>20%</w:t>
            </w:r>
          </w:p>
        </w:tc>
        <w:tc>
          <w:tcPr>
            <w:tcW w:w="735" w:type="pct"/>
            <w:vAlign w:val="center"/>
          </w:tcPr>
          <w:p w14:paraId="6B2D1EAB" w14:textId="77777777" w:rsidR="007A6526" w:rsidRPr="00DE44BE" w:rsidRDefault="007A6526" w:rsidP="007A6526">
            <w:pPr>
              <w:spacing w:before="4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en-AU"/>
              </w:rPr>
            </w:pPr>
            <w:r w:rsidRPr="00DE44BE">
              <w:rPr>
                <w:rFonts w:eastAsia="Times New Roman" w:cs="Arial"/>
                <w:sz w:val="22"/>
                <w:szCs w:val="22"/>
                <w:lang w:eastAsia="en-AU"/>
              </w:rPr>
              <w:t>80%</w:t>
            </w:r>
          </w:p>
        </w:tc>
        <w:tc>
          <w:tcPr>
            <w:tcW w:w="668" w:type="pct"/>
            <w:noWrap/>
            <w:vAlign w:val="center"/>
            <w:hideMark/>
          </w:tcPr>
          <w:p w14:paraId="3CFE7624" w14:textId="77777777" w:rsidR="007A6526" w:rsidRPr="00DE44BE" w:rsidRDefault="007A6526" w:rsidP="007A6526">
            <w:pPr>
              <w:spacing w:before="4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en-AU"/>
              </w:rPr>
            </w:pPr>
            <w:r w:rsidRPr="00DE44BE">
              <w:rPr>
                <w:rFonts w:eastAsia="Times New Roman" w:cs="Arial"/>
                <w:sz w:val="22"/>
                <w:szCs w:val="22"/>
                <w:lang w:eastAsia="en-AU"/>
              </w:rPr>
              <w:t xml:space="preserve">1,408.00 </w:t>
            </w:r>
          </w:p>
        </w:tc>
      </w:tr>
      <w:tr w:rsidR="00F263A1" w:rsidRPr="00DE44BE" w14:paraId="03EBF82F" w14:textId="77777777" w:rsidTr="00BB64C2">
        <w:trPr>
          <w:trHeight w:val="285"/>
        </w:trPr>
        <w:tc>
          <w:tcPr>
            <w:cnfStyle w:val="001000000000" w:firstRow="0" w:lastRow="0" w:firstColumn="1" w:lastColumn="0" w:oddVBand="0" w:evenVBand="0" w:oddHBand="0" w:evenHBand="0" w:firstRowFirstColumn="0" w:firstRowLastColumn="0" w:lastRowFirstColumn="0" w:lastRowLastColumn="0"/>
            <w:tcW w:w="806" w:type="pct"/>
            <w:noWrap/>
            <w:vAlign w:val="center"/>
            <w:hideMark/>
          </w:tcPr>
          <w:p w14:paraId="6E5DD287" w14:textId="77777777" w:rsidR="007A6526" w:rsidRPr="00DE44BE" w:rsidRDefault="007A6526" w:rsidP="007A6526">
            <w:pPr>
              <w:spacing w:before="40" w:after="120" w:line="240" w:lineRule="auto"/>
              <w:rPr>
                <w:rFonts w:eastAsia="Times New Roman" w:cs="Arial"/>
                <w:bCs/>
                <w:sz w:val="22"/>
                <w:szCs w:val="22"/>
                <w:lang w:eastAsia="en-AU"/>
              </w:rPr>
            </w:pPr>
            <w:r w:rsidRPr="00DE44BE">
              <w:rPr>
                <w:rFonts w:eastAsia="Times New Roman" w:cs="Arial"/>
                <w:bCs/>
                <w:sz w:val="22"/>
                <w:szCs w:val="22"/>
                <w:lang w:eastAsia="en-AU"/>
              </w:rPr>
              <w:t xml:space="preserve">Recurring investment </w:t>
            </w:r>
          </w:p>
        </w:tc>
        <w:tc>
          <w:tcPr>
            <w:tcW w:w="2122" w:type="pct"/>
            <w:noWrap/>
            <w:vAlign w:val="center"/>
            <w:hideMark/>
          </w:tcPr>
          <w:p w14:paraId="20627151" w14:textId="77777777" w:rsidR="007A6526" w:rsidRPr="00DE44BE" w:rsidRDefault="007A6526" w:rsidP="007A6526">
            <w:pPr>
              <w:spacing w:before="4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en-AU"/>
              </w:rPr>
            </w:pPr>
            <w:r w:rsidRPr="00DE44BE">
              <w:rPr>
                <w:rFonts w:eastAsia="Times New Roman" w:cs="Arial"/>
                <w:sz w:val="22"/>
                <w:szCs w:val="22"/>
                <w:lang w:eastAsia="en-AU"/>
              </w:rPr>
              <w:t>Investment ownership considerations: understanding existing tax situation, considering alternative options and their tax implications specifically around not investing (paying off debt) family trusts, capital gains and taxable income and recommendations for personally held investments with consideration to taxable income (s 25-5)</w:t>
            </w:r>
          </w:p>
        </w:tc>
        <w:tc>
          <w:tcPr>
            <w:tcW w:w="668" w:type="pct"/>
            <w:noWrap/>
            <w:vAlign w:val="center"/>
            <w:hideMark/>
          </w:tcPr>
          <w:p w14:paraId="7BA1F608" w14:textId="77777777" w:rsidR="007A6526" w:rsidRPr="00DE44BE" w:rsidRDefault="007A6526" w:rsidP="007A6526">
            <w:pPr>
              <w:spacing w:before="4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en-AU"/>
              </w:rPr>
            </w:pPr>
            <w:r w:rsidRPr="00DE44BE">
              <w:rPr>
                <w:rFonts w:eastAsia="Times New Roman" w:cs="Arial"/>
                <w:sz w:val="22"/>
                <w:szCs w:val="22"/>
                <w:lang w:eastAsia="en-AU"/>
              </w:rPr>
              <w:t>10%</w:t>
            </w:r>
          </w:p>
        </w:tc>
        <w:tc>
          <w:tcPr>
            <w:tcW w:w="735" w:type="pct"/>
            <w:vAlign w:val="center"/>
          </w:tcPr>
          <w:p w14:paraId="0F68874C" w14:textId="77777777" w:rsidR="007A6526" w:rsidRPr="00DE44BE" w:rsidRDefault="007A6526" w:rsidP="007A6526">
            <w:pPr>
              <w:spacing w:before="4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en-AU"/>
              </w:rPr>
            </w:pPr>
            <w:r w:rsidRPr="00DE44BE">
              <w:rPr>
                <w:rFonts w:eastAsia="Times New Roman" w:cs="Arial"/>
                <w:sz w:val="22"/>
                <w:szCs w:val="22"/>
                <w:lang w:eastAsia="en-AU"/>
              </w:rPr>
              <w:t>80%</w:t>
            </w:r>
          </w:p>
        </w:tc>
        <w:tc>
          <w:tcPr>
            <w:tcW w:w="668" w:type="pct"/>
            <w:noWrap/>
            <w:vAlign w:val="center"/>
            <w:hideMark/>
          </w:tcPr>
          <w:p w14:paraId="381B21C9" w14:textId="77777777" w:rsidR="007A6526" w:rsidRPr="00DE44BE" w:rsidRDefault="007A6526" w:rsidP="007A6526">
            <w:pPr>
              <w:spacing w:before="4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en-AU"/>
              </w:rPr>
            </w:pPr>
            <w:r w:rsidRPr="00DE44BE">
              <w:rPr>
                <w:rFonts w:eastAsia="Times New Roman" w:cs="Arial"/>
                <w:sz w:val="22"/>
                <w:szCs w:val="22"/>
                <w:lang w:eastAsia="en-AU"/>
              </w:rPr>
              <w:t xml:space="preserve">704.00 </w:t>
            </w:r>
          </w:p>
        </w:tc>
      </w:tr>
      <w:tr w:rsidR="00F263A1" w:rsidRPr="00DE44BE" w14:paraId="38700F85" w14:textId="77777777" w:rsidTr="00BB64C2">
        <w:trPr>
          <w:trHeight w:val="285"/>
        </w:trPr>
        <w:tc>
          <w:tcPr>
            <w:cnfStyle w:val="001000000000" w:firstRow="0" w:lastRow="0" w:firstColumn="1" w:lastColumn="0" w:oddVBand="0" w:evenVBand="0" w:oddHBand="0" w:evenHBand="0" w:firstRowFirstColumn="0" w:firstRowLastColumn="0" w:lastRowFirstColumn="0" w:lastRowLastColumn="0"/>
            <w:tcW w:w="806" w:type="pct"/>
            <w:noWrap/>
            <w:vAlign w:val="center"/>
            <w:hideMark/>
          </w:tcPr>
          <w:p w14:paraId="0E9CE697" w14:textId="77777777" w:rsidR="007A6526" w:rsidRPr="00DE44BE" w:rsidRDefault="007A6526" w:rsidP="007A6526">
            <w:pPr>
              <w:spacing w:before="40" w:after="120" w:line="240" w:lineRule="auto"/>
              <w:rPr>
                <w:rFonts w:eastAsia="Times New Roman" w:cs="Arial"/>
                <w:bCs/>
                <w:sz w:val="22"/>
                <w:szCs w:val="22"/>
                <w:lang w:eastAsia="en-AU"/>
              </w:rPr>
            </w:pPr>
            <w:r w:rsidRPr="00DE44BE">
              <w:rPr>
                <w:rFonts w:eastAsia="Times New Roman" w:cs="Arial"/>
                <w:bCs/>
                <w:sz w:val="22"/>
                <w:szCs w:val="22"/>
                <w:lang w:eastAsia="en-AU"/>
              </w:rPr>
              <w:t>Personal insurance</w:t>
            </w:r>
          </w:p>
        </w:tc>
        <w:tc>
          <w:tcPr>
            <w:tcW w:w="2122" w:type="pct"/>
            <w:noWrap/>
            <w:vAlign w:val="center"/>
            <w:hideMark/>
          </w:tcPr>
          <w:p w14:paraId="3446D538" w14:textId="4A923D92" w:rsidR="007A6526" w:rsidRPr="00DE44BE" w:rsidRDefault="003E0F2D" w:rsidP="007A6526">
            <w:pPr>
              <w:spacing w:before="4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en-AU"/>
              </w:rPr>
            </w:pPr>
            <w:r w:rsidRPr="003E0F2D">
              <w:rPr>
                <w:rFonts w:eastAsia="Times New Roman" w:cs="Arial"/>
                <w:sz w:val="22"/>
                <w:szCs w:val="22"/>
                <w:highlight w:val="yellow"/>
                <w:lang w:eastAsia="en-AU"/>
              </w:rPr>
              <w:t>Client2</w:t>
            </w:r>
            <w:r w:rsidR="007A6526" w:rsidRPr="00DE44BE">
              <w:rPr>
                <w:rFonts w:eastAsia="Times New Roman" w:cs="Arial"/>
                <w:sz w:val="22"/>
                <w:szCs w:val="22"/>
                <w:lang w:eastAsia="en-AU"/>
              </w:rPr>
              <w:t xml:space="preserve"> income protection is tax deductible and makes up approx. half of their total premium (s 8-1). Advice on life/TPB insurance is </w:t>
            </w:r>
            <w:r w:rsidR="007A6526" w:rsidRPr="00DE44BE">
              <w:rPr>
                <w:rFonts w:eastAsia="Times New Roman" w:cs="Arial"/>
                <w:i/>
                <w:iCs/>
                <w:sz w:val="22"/>
                <w:szCs w:val="22"/>
                <w:lang w:eastAsia="en-AU"/>
              </w:rPr>
              <w:t>tax (financial advice)</w:t>
            </w:r>
            <w:r w:rsidR="007A6526" w:rsidRPr="00DE44BE">
              <w:rPr>
                <w:rFonts w:eastAsia="Times New Roman" w:cs="Arial"/>
                <w:sz w:val="22"/>
                <w:szCs w:val="22"/>
                <w:lang w:eastAsia="en-AU"/>
              </w:rPr>
              <w:t xml:space="preserve"> as </w:t>
            </w:r>
            <w:r w:rsidR="00921302">
              <w:rPr>
                <w:rFonts w:eastAsia="Times New Roman" w:cs="Arial"/>
                <w:sz w:val="22"/>
                <w:szCs w:val="22"/>
                <w:lang w:eastAsia="en-AU"/>
              </w:rPr>
              <w:t xml:space="preserve">cover </w:t>
            </w:r>
            <w:r w:rsidR="00A4350F">
              <w:rPr>
                <w:rFonts w:eastAsia="Times New Roman" w:cs="Arial"/>
                <w:sz w:val="22"/>
                <w:szCs w:val="22"/>
                <w:lang w:eastAsia="en-AU"/>
              </w:rPr>
              <w:t xml:space="preserve">is held inside </w:t>
            </w:r>
            <w:r w:rsidR="007A6526" w:rsidRPr="00DE44BE">
              <w:rPr>
                <w:rFonts w:eastAsia="Times New Roman" w:cs="Arial"/>
                <w:sz w:val="22"/>
                <w:szCs w:val="22"/>
                <w:lang w:eastAsia="en-AU"/>
              </w:rPr>
              <w:t xml:space="preserve">superannuation </w:t>
            </w:r>
            <w:r w:rsidR="00A4350F">
              <w:rPr>
                <w:rFonts w:eastAsia="Times New Roman" w:cs="Arial"/>
                <w:sz w:val="22"/>
                <w:szCs w:val="22"/>
                <w:lang w:eastAsia="en-AU"/>
              </w:rPr>
              <w:t xml:space="preserve">fund </w:t>
            </w:r>
            <w:r w:rsidR="007A6526" w:rsidRPr="00DE44BE">
              <w:rPr>
                <w:rFonts w:eastAsia="Times New Roman" w:cs="Arial"/>
                <w:sz w:val="22"/>
                <w:szCs w:val="22"/>
                <w:lang w:eastAsia="en-AU"/>
              </w:rPr>
              <w:t xml:space="preserve">(s 25-5) </w:t>
            </w:r>
          </w:p>
        </w:tc>
        <w:tc>
          <w:tcPr>
            <w:tcW w:w="668" w:type="pct"/>
            <w:noWrap/>
            <w:vAlign w:val="center"/>
            <w:hideMark/>
          </w:tcPr>
          <w:p w14:paraId="1C6E9F2F" w14:textId="77777777" w:rsidR="007A6526" w:rsidRPr="00DE44BE" w:rsidRDefault="007A6526" w:rsidP="007A6526">
            <w:pPr>
              <w:spacing w:before="4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en-AU"/>
              </w:rPr>
            </w:pPr>
            <w:r w:rsidRPr="00DE44BE">
              <w:rPr>
                <w:rFonts w:eastAsia="Times New Roman" w:cs="Arial"/>
                <w:sz w:val="22"/>
                <w:szCs w:val="22"/>
                <w:lang w:eastAsia="en-AU"/>
              </w:rPr>
              <w:t>10%</w:t>
            </w:r>
          </w:p>
        </w:tc>
        <w:tc>
          <w:tcPr>
            <w:tcW w:w="735" w:type="pct"/>
            <w:vAlign w:val="center"/>
          </w:tcPr>
          <w:p w14:paraId="5ADD9FBF" w14:textId="77777777" w:rsidR="007A6526" w:rsidRPr="00DE44BE" w:rsidRDefault="007A6526" w:rsidP="007A6526">
            <w:pPr>
              <w:spacing w:before="4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en-AU"/>
              </w:rPr>
            </w:pPr>
            <w:r w:rsidRPr="00DE44BE">
              <w:rPr>
                <w:rFonts w:eastAsia="Times New Roman" w:cs="Arial"/>
                <w:sz w:val="22"/>
                <w:szCs w:val="22"/>
                <w:lang w:eastAsia="en-AU"/>
              </w:rPr>
              <w:t>65%</w:t>
            </w:r>
          </w:p>
        </w:tc>
        <w:tc>
          <w:tcPr>
            <w:tcW w:w="668" w:type="pct"/>
            <w:noWrap/>
            <w:vAlign w:val="center"/>
            <w:hideMark/>
          </w:tcPr>
          <w:p w14:paraId="03463BC8" w14:textId="77777777" w:rsidR="007A6526" w:rsidRPr="00DE44BE" w:rsidRDefault="007A6526" w:rsidP="007A6526">
            <w:pPr>
              <w:spacing w:before="4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en-AU"/>
              </w:rPr>
            </w:pPr>
            <w:r w:rsidRPr="00DE44BE">
              <w:rPr>
                <w:rFonts w:eastAsia="Times New Roman" w:cs="Arial"/>
                <w:sz w:val="22"/>
                <w:szCs w:val="22"/>
                <w:lang w:eastAsia="en-AU"/>
              </w:rPr>
              <w:t xml:space="preserve">572.00 </w:t>
            </w:r>
          </w:p>
        </w:tc>
      </w:tr>
      <w:tr w:rsidR="00F263A1" w:rsidRPr="00DE44BE" w14:paraId="62D01CC7" w14:textId="77777777" w:rsidTr="00BB64C2">
        <w:trPr>
          <w:trHeight w:val="285"/>
        </w:trPr>
        <w:tc>
          <w:tcPr>
            <w:cnfStyle w:val="001000000000" w:firstRow="0" w:lastRow="0" w:firstColumn="1" w:lastColumn="0" w:oddVBand="0" w:evenVBand="0" w:oddHBand="0" w:evenHBand="0" w:firstRowFirstColumn="0" w:firstRowLastColumn="0" w:lastRowFirstColumn="0" w:lastRowLastColumn="0"/>
            <w:tcW w:w="806" w:type="pct"/>
            <w:noWrap/>
            <w:vAlign w:val="center"/>
            <w:hideMark/>
          </w:tcPr>
          <w:p w14:paraId="3E102D12" w14:textId="77777777" w:rsidR="007A6526" w:rsidRPr="00DE44BE" w:rsidRDefault="007A6526" w:rsidP="007A6526">
            <w:pPr>
              <w:spacing w:before="40" w:after="120" w:line="240" w:lineRule="auto"/>
              <w:rPr>
                <w:rFonts w:eastAsia="Times New Roman" w:cs="Arial"/>
                <w:bCs/>
                <w:sz w:val="22"/>
                <w:szCs w:val="22"/>
                <w:lang w:eastAsia="en-AU"/>
              </w:rPr>
            </w:pPr>
            <w:r w:rsidRPr="00DE44BE">
              <w:rPr>
                <w:rFonts w:eastAsia="Times New Roman" w:cs="Arial"/>
                <w:bCs/>
                <w:sz w:val="22"/>
                <w:szCs w:val="22"/>
                <w:lang w:eastAsia="en-AU"/>
              </w:rPr>
              <w:t xml:space="preserve">Estate planning </w:t>
            </w:r>
          </w:p>
        </w:tc>
        <w:tc>
          <w:tcPr>
            <w:tcW w:w="2122" w:type="pct"/>
            <w:noWrap/>
            <w:vAlign w:val="center"/>
            <w:hideMark/>
          </w:tcPr>
          <w:p w14:paraId="0D9DEE86" w14:textId="77777777" w:rsidR="007A6526" w:rsidRPr="00DE44BE" w:rsidRDefault="007A6526" w:rsidP="007A6526">
            <w:pPr>
              <w:spacing w:before="4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en-AU"/>
              </w:rPr>
            </w:pPr>
            <w:r w:rsidRPr="00DE44BE">
              <w:rPr>
                <w:rFonts w:eastAsia="Times New Roman" w:cs="Arial"/>
                <w:sz w:val="22"/>
                <w:szCs w:val="22"/>
                <w:lang w:eastAsia="en-AU"/>
              </w:rPr>
              <w:t>Not related to tax affairs</w:t>
            </w:r>
          </w:p>
        </w:tc>
        <w:tc>
          <w:tcPr>
            <w:tcW w:w="668" w:type="pct"/>
            <w:noWrap/>
            <w:vAlign w:val="center"/>
            <w:hideMark/>
          </w:tcPr>
          <w:p w14:paraId="7ED43C21" w14:textId="77777777" w:rsidR="007A6526" w:rsidRPr="00DE44BE" w:rsidRDefault="007A6526" w:rsidP="007A6526">
            <w:pPr>
              <w:spacing w:before="4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en-AU"/>
              </w:rPr>
            </w:pPr>
            <w:r w:rsidRPr="00DE44BE">
              <w:rPr>
                <w:rFonts w:eastAsia="Times New Roman" w:cs="Arial"/>
                <w:sz w:val="22"/>
                <w:szCs w:val="22"/>
                <w:lang w:eastAsia="en-AU"/>
              </w:rPr>
              <w:t>5%</w:t>
            </w:r>
          </w:p>
        </w:tc>
        <w:tc>
          <w:tcPr>
            <w:tcW w:w="735" w:type="pct"/>
            <w:vAlign w:val="center"/>
          </w:tcPr>
          <w:p w14:paraId="2F13B9B2" w14:textId="7195AD09" w:rsidR="007A6526" w:rsidRPr="00DE44BE" w:rsidRDefault="00D93DA3" w:rsidP="007A6526">
            <w:pPr>
              <w:spacing w:before="4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en-AU"/>
              </w:rPr>
            </w:pPr>
            <w:r>
              <w:rPr>
                <w:rFonts w:eastAsia="Times New Roman" w:cs="Arial"/>
                <w:sz w:val="22"/>
                <w:szCs w:val="22"/>
                <w:lang w:eastAsia="en-AU"/>
              </w:rPr>
              <w:t>Nil</w:t>
            </w:r>
          </w:p>
        </w:tc>
        <w:tc>
          <w:tcPr>
            <w:tcW w:w="668" w:type="pct"/>
            <w:noWrap/>
            <w:vAlign w:val="center"/>
            <w:hideMark/>
          </w:tcPr>
          <w:p w14:paraId="22C7B74F" w14:textId="77777777" w:rsidR="007A6526" w:rsidRPr="00DE44BE" w:rsidRDefault="007A6526" w:rsidP="007A6526">
            <w:pPr>
              <w:spacing w:before="4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2"/>
                <w:szCs w:val="22"/>
                <w:lang w:eastAsia="en-AU"/>
              </w:rPr>
            </w:pPr>
            <w:r w:rsidRPr="00DE44BE">
              <w:rPr>
                <w:rFonts w:eastAsia="Times New Roman" w:cs="Arial"/>
                <w:sz w:val="22"/>
                <w:szCs w:val="22"/>
                <w:lang w:eastAsia="en-AU"/>
              </w:rPr>
              <w:t xml:space="preserve">-   </w:t>
            </w:r>
          </w:p>
        </w:tc>
      </w:tr>
      <w:tr w:rsidR="00F263A1" w:rsidRPr="00DE44BE" w14:paraId="4387F42F" w14:textId="77777777" w:rsidTr="00BB64C2">
        <w:trPr>
          <w:trHeight w:val="285"/>
        </w:trPr>
        <w:tc>
          <w:tcPr>
            <w:cnfStyle w:val="001000000000" w:firstRow="0" w:lastRow="0" w:firstColumn="1" w:lastColumn="0" w:oddVBand="0" w:evenVBand="0" w:oddHBand="0" w:evenHBand="0" w:firstRowFirstColumn="0" w:firstRowLastColumn="0" w:lastRowFirstColumn="0" w:lastRowLastColumn="0"/>
            <w:tcW w:w="806" w:type="pct"/>
            <w:noWrap/>
            <w:vAlign w:val="center"/>
          </w:tcPr>
          <w:p w14:paraId="64ECD848" w14:textId="77777777" w:rsidR="007A6526" w:rsidRPr="00DE44BE" w:rsidRDefault="007A6526" w:rsidP="007A6526">
            <w:pPr>
              <w:spacing w:before="40" w:after="120" w:line="240" w:lineRule="auto"/>
              <w:rPr>
                <w:rFonts w:eastAsia="Times New Roman" w:cs="Arial"/>
                <w:sz w:val="22"/>
                <w:szCs w:val="22"/>
                <w:lang w:eastAsia="en-AU"/>
              </w:rPr>
            </w:pPr>
          </w:p>
        </w:tc>
        <w:tc>
          <w:tcPr>
            <w:tcW w:w="2122" w:type="pct"/>
            <w:noWrap/>
            <w:vAlign w:val="center"/>
          </w:tcPr>
          <w:p w14:paraId="6D3221C3" w14:textId="77777777" w:rsidR="007A6526" w:rsidRPr="00DE44BE" w:rsidRDefault="007A6526" w:rsidP="007A6526">
            <w:pPr>
              <w:spacing w:before="4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Arial"/>
                <w:b/>
                <w:bCs/>
                <w:sz w:val="22"/>
                <w:szCs w:val="22"/>
                <w:lang w:eastAsia="en-AU"/>
              </w:rPr>
            </w:pPr>
            <w:r w:rsidRPr="00DE44BE">
              <w:rPr>
                <w:rFonts w:eastAsia="Times New Roman" w:cs="Arial"/>
                <w:b/>
                <w:bCs/>
                <w:sz w:val="22"/>
                <w:szCs w:val="22"/>
                <w:lang w:eastAsia="en-AU"/>
              </w:rPr>
              <w:t>TOTAL</w:t>
            </w:r>
          </w:p>
        </w:tc>
        <w:tc>
          <w:tcPr>
            <w:tcW w:w="668" w:type="pct"/>
            <w:noWrap/>
            <w:vAlign w:val="center"/>
          </w:tcPr>
          <w:p w14:paraId="37462D5A" w14:textId="77777777" w:rsidR="007A6526" w:rsidRPr="00DE44BE" w:rsidRDefault="007A6526" w:rsidP="007A6526">
            <w:pPr>
              <w:spacing w:before="4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Arial"/>
                <w:b/>
                <w:bCs/>
                <w:sz w:val="22"/>
                <w:szCs w:val="22"/>
                <w:lang w:eastAsia="en-AU"/>
              </w:rPr>
            </w:pPr>
            <w:r w:rsidRPr="00DE44BE">
              <w:rPr>
                <w:rFonts w:eastAsia="Times New Roman" w:cs="Arial"/>
                <w:b/>
                <w:bCs/>
                <w:sz w:val="22"/>
                <w:szCs w:val="22"/>
                <w:lang w:eastAsia="en-AU"/>
              </w:rPr>
              <w:t>100%</w:t>
            </w:r>
          </w:p>
        </w:tc>
        <w:tc>
          <w:tcPr>
            <w:tcW w:w="735" w:type="pct"/>
            <w:vAlign w:val="center"/>
          </w:tcPr>
          <w:p w14:paraId="1A46A4BF" w14:textId="77777777" w:rsidR="007A6526" w:rsidRPr="00DE44BE" w:rsidRDefault="007A6526" w:rsidP="007A6526">
            <w:pPr>
              <w:spacing w:before="4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Arial"/>
                <w:b/>
                <w:bCs/>
                <w:sz w:val="22"/>
                <w:szCs w:val="22"/>
                <w:lang w:eastAsia="en-AU"/>
              </w:rPr>
            </w:pPr>
          </w:p>
        </w:tc>
        <w:tc>
          <w:tcPr>
            <w:tcW w:w="668" w:type="pct"/>
            <w:noWrap/>
            <w:vAlign w:val="center"/>
          </w:tcPr>
          <w:p w14:paraId="232AFF11" w14:textId="77777777" w:rsidR="007A6526" w:rsidRPr="00DE44BE" w:rsidRDefault="007A6526" w:rsidP="007A6526">
            <w:pPr>
              <w:spacing w:before="4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Arial"/>
                <w:b/>
                <w:bCs/>
                <w:sz w:val="22"/>
                <w:szCs w:val="22"/>
                <w:lang w:eastAsia="en-AU"/>
              </w:rPr>
            </w:pPr>
            <w:r w:rsidRPr="00DE44BE">
              <w:rPr>
                <w:rFonts w:eastAsia="Times New Roman" w:cs="Arial"/>
                <w:b/>
                <w:bCs/>
                <w:sz w:val="22"/>
                <w:szCs w:val="22"/>
                <w:lang w:eastAsia="en-AU"/>
              </w:rPr>
              <w:t>$5,940</w:t>
            </w:r>
          </w:p>
        </w:tc>
      </w:tr>
    </w:tbl>
    <w:p w14:paraId="626F7173" w14:textId="3D91F4C1" w:rsidR="00090627" w:rsidRPr="007A6526" w:rsidRDefault="007A6526" w:rsidP="00BB64C2">
      <w:pPr>
        <w:spacing w:before="40" w:after="120" w:line="312" w:lineRule="auto"/>
      </w:pPr>
      <w:r w:rsidRPr="00DE44BE">
        <w:rPr>
          <w:rFonts w:ascii="Arial" w:eastAsia="Arial" w:hAnsi="Arial" w:cs="Arial"/>
          <w:kern w:val="0"/>
          <w:sz w:val="22"/>
          <w:szCs w:val="22"/>
          <w:lang w:val="en-NZ"/>
          <w14:ligatures w14:val="none"/>
        </w:rPr>
        <w:t>The figures above include GST.</w:t>
      </w:r>
    </w:p>
    <w:sectPr w:rsidR="00090627" w:rsidRPr="007A6526" w:rsidSect="00B944B6">
      <w:pgSz w:w="11906" w:h="16838"/>
      <w:pgMar w:top="1134" w:right="1191" w:bottom="1440"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D0E"/>
    <w:rsid w:val="00072F73"/>
    <w:rsid w:val="00090627"/>
    <w:rsid w:val="00096899"/>
    <w:rsid w:val="0010694E"/>
    <w:rsid w:val="00176920"/>
    <w:rsid w:val="00286370"/>
    <w:rsid w:val="00330034"/>
    <w:rsid w:val="00345D0E"/>
    <w:rsid w:val="00370ADD"/>
    <w:rsid w:val="003E0F2D"/>
    <w:rsid w:val="004203FB"/>
    <w:rsid w:val="00452EA9"/>
    <w:rsid w:val="005C5C38"/>
    <w:rsid w:val="006048B3"/>
    <w:rsid w:val="006104AB"/>
    <w:rsid w:val="00637F61"/>
    <w:rsid w:val="006A50AF"/>
    <w:rsid w:val="006F5F58"/>
    <w:rsid w:val="00711A5F"/>
    <w:rsid w:val="00730A60"/>
    <w:rsid w:val="007A6526"/>
    <w:rsid w:val="007D7683"/>
    <w:rsid w:val="009063C9"/>
    <w:rsid w:val="00921302"/>
    <w:rsid w:val="009B4D8F"/>
    <w:rsid w:val="009C329D"/>
    <w:rsid w:val="00A4350F"/>
    <w:rsid w:val="00A91E96"/>
    <w:rsid w:val="00AB2C4A"/>
    <w:rsid w:val="00B12EDC"/>
    <w:rsid w:val="00B944B6"/>
    <w:rsid w:val="00BB64C2"/>
    <w:rsid w:val="00C74609"/>
    <w:rsid w:val="00CB1F83"/>
    <w:rsid w:val="00D13569"/>
    <w:rsid w:val="00D535AC"/>
    <w:rsid w:val="00D93DA3"/>
    <w:rsid w:val="00DA05D8"/>
    <w:rsid w:val="00DA4148"/>
    <w:rsid w:val="00DA7B01"/>
    <w:rsid w:val="00DC0D0C"/>
    <w:rsid w:val="00DE44BE"/>
    <w:rsid w:val="00F02060"/>
    <w:rsid w:val="00F22110"/>
    <w:rsid w:val="00F263A1"/>
    <w:rsid w:val="00F27E1C"/>
    <w:rsid w:val="00F548D7"/>
    <w:rsid w:val="00F90888"/>
    <w:rsid w:val="00FD0D3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F74AC"/>
  <w15:chartTrackingRefBased/>
  <w15:docId w15:val="{9CEB3A7C-64AA-4E53-9EFF-947EA7073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5D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5D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5D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5D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5D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5D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D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D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D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D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D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D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D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D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D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D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D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D0E"/>
    <w:rPr>
      <w:rFonts w:eastAsiaTheme="majorEastAsia" w:cstheme="majorBidi"/>
      <w:color w:val="272727" w:themeColor="text1" w:themeTint="D8"/>
    </w:rPr>
  </w:style>
  <w:style w:type="paragraph" w:styleId="Title">
    <w:name w:val="Title"/>
    <w:basedOn w:val="Normal"/>
    <w:next w:val="Normal"/>
    <w:link w:val="TitleChar"/>
    <w:uiPriority w:val="10"/>
    <w:qFormat/>
    <w:rsid w:val="00345D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D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D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D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D0E"/>
    <w:pPr>
      <w:spacing w:before="160"/>
      <w:jc w:val="center"/>
    </w:pPr>
    <w:rPr>
      <w:i/>
      <w:iCs/>
      <w:color w:val="404040" w:themeColor="text1" w:themeTint="BF"/>
    </w:rPr>
  </w:style>
  <w:style w:type="character" w:customStyle="1" w:styleId="QuoteChar">
    <w:name w:val="Quote Char"/>
    <w:basedOn w:val="DefaultParagraphFont"/>
    <w:link w:val="Quote"/>
    <w:uiPriority w:val="29"/>
    <w:rsid w:val="00345D0E"/>
    <w:rPr>
      <w:i/>
      <w:iCs/>
      <w:color w:val="404040" w:themeColor="text1" w:themeTint="BF"/>
    </w:rPr>
  </w:style>
  <w:style w:type="paragraph" w:styleId="ListParagraph">
    <w:name w:val="List Paragraph"/>
    <w:basedOn w:val="Normal"/>
    <w:uiPriority w:val="34"/>
    <w:qFormat/>
    <w:rsid w:val="00345D0E"/>
    <w:pPr>
      <w:ind w:left="720"/>
      <w:contextualSpacing/>
    </w:pPr>
  </w:style>
  <w:style w:type="character" w:styleId="IntenseEmphasis">
    <w:name w:val="Intense Emphasis"/>
    <w:basedOn w:val="DefaultParagraphFont"/>
    <w:uiPriority w:val="21"/>
    <w:qFormat/>
    <w:rsid w:val="00345D0E"/>
    <w:rPr>
      <w:i/>
      <w:iCs/>
      <w:color w:val="0F4761" w:themeColor="accent1" w:themeShade="BF"/>
    </w:rPr>
  </w:style>
  <w:style w:type="paragraph" w:styleId="IntenseQuote">
    <w:name w:val="Intense Quote"/>
    <w:basedOn w:val="Normal"/>
    <w:next w:val="Normal"/>
    <w:link w:val="IntenseQuoteChar"/>
    <w:uiPriority w:val="30"/>
    <w:qFormat/>
    <w:rsid w:val="00345D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5D0E"/>
    <w:rPr>
      <w:i/>
      <w:iCs/>
      <w:color w:val="0F4761" w:themeColor="accent1" w:themeShade="BF"/>
    </w:rPr>
  </w:style>
  <w:style w:type="character" w:styleId="IntenseReference">
    <w:name w:val="Intense Reference"/>
    <w:basedOn w:val="DefaultParagraphFont"/>
    <w:uiPriority w:val="32"/>
    <w:qFormat/>
    <w:rsid w:val="00345D0E"/>
    <w:rPr>
      <w:b/>
      <w:bCs/>
      <w:smallCaps/>
      <w:color w:val="0F4761" w:themeColor="accent1" w:themeShade="BF"/>
      <w:spacing w:val="5"/>
    </w:rPr>
  </w:style>
  <w:style w:type="table" w:customStyle="1" w:styleId="CAANZDefaulttable1">
    <w:name w:val="CA ANZ Default table1"/>
    <w:basedOn w:val="TableNormal"/>
    <w:next w:val="TableGrid"/>
    <w:uiPriority w:val="39"/>
    <w:rsid w:val="00345D0E"/>
    <w:pPr>
      <w:spacing w:before="140" w:after="40" w:line="312" w:lineRule="auto"/>
      <w:ind w:left="85" w:right="85"/>
    </w:pPr>
    <w:rPr>
      <w:rFonts w:ascii="Arial" w:hAnsi="Arial"/>
      <w:color w:val="000000"/>
      <w:kern w:val="0"/>
      <w:sz w:val="16"/>
      <w:szCs w:val="20"/>
      <w:lang w:val="en-NZ"/>
      <w14:ligatures w14:val="none"/>
    </w:rPr>
    <w:tblPr>
      <w:tblStyleColBandSize w:val="1"/>
      <w:tblBorders>
        <w:top w:val="single" w:sz="6" w:space="0" w:color="0934C1"/>
        <w:bottom w:val="single" w:sz="6" w:space="0" w:color="0934C1"/>
        <w:insideH w:val="single" w:sz="2" w:space="0" w:color="0934C1"/>
        <w:insideV w:val="single" w:sz="18" w:space="0" w:color="FFFFFF"/>
      </w:tblBorders>
    </w:tblPr>
    <w:tcPr>
      <w:shd w:val="clear" w:color="auto" w:fill="auto"/>
      <w:tcMar>
        <w:left w:w="0" w:type="dxa"/>
        <w:right w:w="0" w:type="dxa"/>
      </w:tcMar>
    </w:tcPr>
    <w:tblStylePr w:type="firstRow">
      <w:pPr>
        <w:wordWrap/>
        <w:spacing w:beforeLines="0" w:before="140" w:beforeAutospacing="0" w:afterLines="0" w:after="40" w:afterAutospacing="0" w:line="312" w:lineRule="auto"/>
        <w:ind w:leftChars="0" w:left="85" w:rightChars="0" w:right="85" w:firstLineChars="0" w:firstLine="0"/>
        <w:contextualSpacing w:val="0"/>
        <w:mirrorIndents w:val="0"/>
        <w:jc w:val="left"/>
        <w:outlineLvl w:val="9"/>
      </w:pPr>
      <w:rPr>
        <w:rFonts w:ascii="Yu Gothic Light" w:hAnsi="Yu Gothic Light"/>
        <w:b/>
        <w:i w:val="0"/>
        <w:color w:val="000000"/>
        <w:sz w:val="16"/>
      </w:rPr>
      <w:tblPr/>
      <w:tcPr>
        <w:tcBorders>
          <w:top w:val="single" w:sz="6" w:space="0" w:color="0934C1"/>
          <w:left w:val="nil"/>
          <w:bottom w:val="nil"/>
          <w:right w:val="nil"/>
          <w:insideH w:val="nil"/>
          <w:insideV w:val="single" w:sz="18" w:space="0" w:color="FFFFFF"/>
          <w:tl2br w:val="nil"/>
          <w:tr2bl w:val="nil"/>
        </w:tcBorders>
        <w:vAlign w:val="center"/>
      </w:tcPr>
    </w:tblStylePr>
    <w:tblStylePr w:type="lastRow">
      <w:pPr>
        <w:wordWrap/>
        <w:spacing w:beforeLines="0" w:before="140" w:beforeAutospacing="0" w:afterLines="0" w:after="40" w:afterAutospacing="0" w:line="312" w:lineRule="auto"/>
        <w:ind w:leftChars="0" w:left="85" w:rightChars="0" w:right="85" w:firstLineChars="0" w:firstLine="0"/>
        <w:contextualSpacing w:val="0"/>
        <w:mirrorIndents w:val="0"/>
        <w:jc w:val="left"/>
        <w:outlineLvl w:val="9"/>
      </w:pPr>
      <w:rPr>
        <w:rFonts w:ascii="Arial" w:hAnsi="Arial"/>
        <w:b/>
        <w:i w:val="0"/>
        <w:sz w:val="16"/>
      </w:rPr>
      <w:tblPr/>
      <w:tcPr>
        <w:tcBorders>
          <w:top w:val="nil"/>
          <w:left w:val="nil"/>
          <w:bottom w:val="single" w:sz="6" w:space="0" w:color="0934C1"/>
          <w:right w:val="nil"/>
          <w:insideH w:val="nil"/>
          <w:insideV w:val="single" w:sz="18" w:space="0" w:color="FFFFFF"/>
          <w:tl2br w:val="nil"/>
          <w:tr2bl w:val="nil"/>
        </w:tcBorders>
      </w:tcPr>
    </w:tblStylePr>
    <w:tblStylePr w:type="firstCol">
      <w:pPr>
        <w:wordWrap/>
        <w:spacing w:beforeLines="0" w:before="140" w:beforeAutospacing="0" w:afterLines="0" w:after="40" w:afterAutospacing="0" w:line="312" w:lineRule="auto"/>
        <w:ind w:leftChars="0" w:left="85" w:rightChars="0" w:right="85" w:firstLineChars="0" w:firstLine="0"/>
        <w:contextualSpacing w:val="0"/>
        <w:mirrorIndents w:val="0"/>
        <w:jc w:val="left"/>
        <w:outlineLvl w:val="9"/>
      </w:pPr>
      <w:rPr>
        <w:rFonts w:ascii="Arial" w:hAnsi="Arial"/>
        <w:b/>
        <w:i w:val="0"/>
        <w:color w:val="000000"/>
        <w:sz w:val="16"/>
      </w:rPr>
    </w:tblStylePr>
    <w:tblStylePr w:type="band2Vert">
      <w:rPr>
        <w:rFonts w:ascii="Arial" w:hAnsi="Arial"/>
        <w:b w:val="0"/>
        <w:i w:val="0"/>
        <w:color w:val="000000"/>
        <w:sz w:val="16"/>
      </w:rPr>
      <w:tblPr/>
      <w:tcPr>
        <w:shd w:val="clear" w:color="auto" w:fill="EEF1FA"/>
      </w:tcPr>
    </w:tblStylePr>
  </w:style>
  <w:style w:type="table" w:styleId="TableGrid">
    <w:name w:val="Table Grid"/>
    <w:basedOn w:val="TableNormal"/>
    <w:uiPriority w:val="39"/>
    <w:rsid w:val="00345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ANZDefaulttable2">
    <w:name w:val="CA ANZ Default table2"/>
    <w:basedOn w:val="TableNormal"/>
    <w:next w:val="TableGrid"/>
    <w:uiPriority w:val="39"/>
    <w:rsid w:val="00345D0E"/>
    <w:pPr>
      <w:spacing w:before="140" w:after="40" w:line="312" w:lineRule="auto"/>
      <w:ind w:left="85" w:right="85"/>
    </w:pPr>
    <w:rPr>
      <w:rFonts w:ascii="Arial" w:hAnsi="Arial"/>
      <w:color w:val="000000"/>
      <w:kern w:val="0"/>
      <w:sz w:val="16"/>
      <w:szCs w:val="20"/>
      <w:lang w:val="en-NZ"/>
      <w14:ligatures w14:val="none"/>
    </w:rPr>
    <w:tblPr>
      <w:tblStyleColBandSize w:val="1"/>
      <w:tblBorders>
        <w:top w:val="single" w:sz="6" w:space="0" w:color="0934C1"/>
        <w:bottom w:val="single" w:sz="6" w:space="0" w:color="0934C1"/>
        <w:insideH w:val="single" w:sz="2" w:space="0" w:color="0934C1"/>
        <w:insideV w:val="single" w:sz="18" w:space="0" w:color="FFFFFF"/>
      </w:tblBorders>
    </w:tblPr>
    <w:tcPr>
      <w:shd w:val="clear" w:color="auto" w:fill="auto"/>
      <w:tcMar>
        <w:left w:w="0" w:type="dxa"/>
        <w:right w:w="0" w:type="dxa"/>
      </w:tcMar>
    </w:tcPr>
    <w:tblStylePr w:type="firstRow">
      <w:pPr>
        <w:wordWrap/>
        <w:spacing w:beforeLines="0" w:before="140" w:beforeAutospacing="0" w:afterLines="0" w:after="40" w:afterAutospacing="0" w:line="312" w:lineRule="auto"/>
        <w:ind w:leftChars="0" w:left="85" w:rightChars="0" w:right="85" w:firstLineChars="0" w:firstLine="0"/>
        <w:contextualSpacing w:val="0"/>
        <w:mirrorIndents w:val="0"/>
        <w:jc w:val="left"/>
        <w:outlineLvl w:val="9"/>
      </w:pPr>
      <w:rPr>
        <w:rFonts w:ascii="Yu Gothic Light" w:hAnsi="Yu Gothic Light"/>
        <w:b/>
        <w:i w:val="0"/>
        <w:color w:val="000000"/>
        <w:sz w:val="16"/>
      </w:rPr>
      <w:tblPr/>
      <w:tcPr>
        <w:tcBorders>
          <w:top w:val="single" w:sz="6" w:space="0" w:color="0934C1"/>
          <w:left w:val="nil"/>
          <w:bottom w:val="nil"/>
          <w:right w:val="nil"/>
          <w:insideH w:val="nil"/>
          <w:insideV w:val="single" w:sz="18" w:space="0" w:color="FFFFFF"/>
          <w:tl2br w:val="nil"/>
          <w:tr2bl w:val="nil"/>
        </w:tcBorders>
        <w:vAlign w:val="center"/>
      </w:tcPr>
    </w:tblStylePr>
    <w:tblStylePr w:type="lastRow">
      <w:pPr>
        <w:wordWrap/>
        <w:spacing w:beforeLines="0" w:before="140" w:beforeAutospacing="0" w:afterLines="0" w:after="40" w:afterAutospacing="0" w:line="312" w:lineRule="auto"/>
        <w:ind w:leftChars="0" w:left="85" w:rightChars="0" w:right="85" w:firstLineChars="0" w:firstLine="0"/>
        <w:contextualSpacing w:val="0"/>
        <w:mirrorIndents w:val="0"/>
        <w:jc w:val="left"/>
        <w:outlineLvl w:val="9"/>
      </w:pPr>
      <w:rPr>
        <w:rFonts w:ascii="Arial" w:hAnsi="Arial"/>
        <w:b/>
        <w:i w:val="0"/>
        <w:sz w:val="16"/>
      </w:rPr>
      <w:tblPr/>
      <w:tcPr>
        <w:tcBorders>
          <w:top w:val="nil"/>
          <w:left w:val="nil"/>
          <w:bottom w:val="single" w:sz="6" w:space="0" w:color="0934C1"/>
          <w:right w:val="nil"/>
          <w:insideH w:val="nil"/>
          <w:insideV w:val="single" w:sz="18" w:space="0" w:color="FFFFFF"/>
          <w:tl2br w:val="nil"/>
          <w:tr2bl w:val="nil"/>
        </w:tcBorders>
      </w:tcPr>
    </w:tblStylePr>
    <w:tblStylePr w:type="firstCol">
      <w:pPr>
        <w:wordWrap/>
        <w:spacing w:beforeLines="0" w:before="140" w:beforeAutospacing="0" w:afterLines="0" w:after="40" w:afterAutospacing="0" w:line="312" w:lineRule="auto"/>
        <w:ind w:leftChars="0" w:left="85" w:rightChars="0" w:right="85" w:firstLineChars="0" w:firstLine="0"/>
        <w:contextualSpacing w:val="0"/>
        <w:mirrorIndents w:val="0"/>
        <w:jc w:val="left"/>
        <w:outlineLvl w:val="9"/>
      </w:pPr>
      <w:rPr>
        <w:rFonts w:ascii="Arial" w:hAnsi="Arial"/>
        <w:b/>
        <w:i w:val="0"/>
        <w:color w:val="000000"/>
        <w:sz w:val="16"/>
      </w:rPr>
    </w:tblStylePr>
    <w:tblStylePr w:type="band2Vert">
      <w:rPr>
        <w:rFonts w:ascii="Arial" w:hAnsi="Arial"/>
        <w:b w:val="0"/>
        <w:i w:val="0"/>
        <w:color w:val="000000"/>
        <w:sz w:val="16"/>
      </w:rPr>
      <w:tblPr/>
      <w:tcPr>
        <w:shd w:val="clear" w:color="auto" w:fill="EEF1FA"/>
      </w:tcPr>
    </w:tblStylePr>
  </w:style>
  <w:style w:type="table" w:customStyle="1" w:styleId="CAANZDefaulttable3">
    <w:name w:val="CA ANZ Default table3"/>
    <w:basedOn w:val="TableNormal"/>
    <w:next w:val="TableGrid"/>
    <w:uiPriority w:val="39"/>
    <w:rsid w:val="007D7683"/>
    <w:pPr>
      <w:spacing w:before="140" w:after="40" w:line="312" w:lineRule="auto"/>
      <w:ind w:left="85" w:right="85"/>
    </w:pPr>
    <w:rPr>
      <w:rFonts w:ascii="Arial" w:hAnsi="Arial"/>
      <w:color w:val="000000"/>
      <w:kern w:val="0"/>
      <w:sz w:val="16"/>
      <w:szCs w:val="20"/>
      <w:lang w:val="en-NZ"/>
      <w14:ligatures w14:val="none"/>
    </w:rPr>
    <w:tblPr>
      <w:tblStyleColBandSize w:val="1"/>
      <w:tblBorders>
        <w:top w:val="single" w:sz="6" w:space="0" w:color="0934C1"/>
        <w:bottom w:val="single" w:sz="6" w:space="0" w:color="0934C1"/>
        <w:insideH w:val="single" w:sz="2" w:space="0" w:color="0934C1"/>
        <w:insideV w:val="single" w:sz="18" w:space="0" w:color="FFFFFF"/>
      </w:tblBorders>
    </w:tblPr>
    <w:tcPr>
      <w:shd w:val="clear" w:color="auto" w:fill="auto"/>
      <w:tcMar>
        <w:left w:w="0" w:type="dxa"/>
        <w:right w:w="0" w:type="dxa"/>
      </w:tcMar>
    </w:tcPr>
    <w:tblStylePr w:type="firstRow">
      <w:pPr>
        <w:wordWrap/>
        <w:spacing w:beforeLines="0" w:before="140" w:beforeAutospacing="0" w:afterLines="0" w:after="40" w:afterAutospacing="0" w:line="312" w:lineRule="auto"/>
        <w:ind w:leftChars="0" w:left="85" w:rightChars="0" w:right="85" w:firstLineChars="0" w:firstLine="0"/>
        <w:contextualSpacing w:val="0"/>
        <w:mirrorIndents w:val="0"/>
        <w:jc w:val="left"/>
        <w:outlineLvl w:val="9"/>
      </w:pPr>
      <w:rPr>
        <w:rFonts w:ascii="Aptos Display" w:hAnsi="Aptos Display"/>
        <w:b/>
        <w:i w:val="0"/>
        <w:color w:val="000000"/>
        <w:sz w:val="16"/>
      </w:rPr>
      <w:tblPr/>
      <w:tcPr>
        <w:tcBorders>
          <w:top w:val="single" w:sz="6" w:space="0" w:color="0934C1"/>
          <w:left w:val="nil"/>
          <w:bottom w:val="nil"/>
          <w:right w:val="nil"/>
          <w:insideH w:val="nil"/>
          <w:insideV w:val="single" w:sz="18" w:space="0" w:color="FFFFFF"/>
          <w:tl2br w:val="nil"/>
          <w:tr2bl w:val="nil"/>
        </w:tcBorders>
        <w:vAlign w:val="center"/>
      </w:tcPr>
    </w:tblStylePr>
    <w:tblStylePr w:type="lastRow">
      <w:pPr>
        <w:wordWrap/>
        <w:spacing w:beforeLines="0" w:before="140" w:beforeAutospacing="0" w:afterLines="0" w:after="40" w:afterAutospacing="0" w:line="312" w:lineRule="auto"/>
        <w:ind w:leftChars="0" w:left="85" w:rightChars="0" w:right="85" w:firstLineChars="0" w:firstLine="0"/>
        <w:contextualSpacing w:val="0"/>
        <w:mirrorIndents w:val="0"/>
        <w:jc w:val="left"/>
        <w:outlineLvl w:val="9"/>
      </w:pPr>
      <w:rPr>
        <w:rFonts w:ascii="Arial" w:hAnsi="Arial"/>
        <w:b/>
        <w:i w:val="0"/>
        <w:sz w:val="16"/>
      </w:rPr>
      <w:tblPr/>
      <w:tcPr>
        <w:tcBorders>
          <w:top w:val="nil"/>
          <w:left w:val="nil"/>
          <w:bottom w:val="single" w:sz="6" w:space="0" w:color="0934C1"/>
          <w:right w:val="nil"/>
          <w:insideH w:val="nil"/>
          <w:insideV w:val="single" w:sz="18" w:space="0" w:color="FFFFFF"/>
          <w:tl2br w:val="nil"/>
          <w:tr2bl w:val="nil"/>
        </w:tcBorders>
      </w:tcPr>
    </w:tblStylePr>
    <w:tblStylePr w:type="firstCol">
      <w:pPr>
        <w:wordWrap/>
        <w:spacing w:beforeLines="0" w:before="140" w:beforeAutospacing="0" w:afterLines="0" w:after="40" w:afterAutospacing="0" w:line="312" w:lineRule="auto"/>
        <w:ind w:leftChars="0" w:left="85" w:rightChars="0" w:right="85" w:firstLineChars="0" w:firstLine="0"/>
        <w:contextualSpacing w:val="0"/>
        <w:mirrorIndents w:val="0"/>
        <w:jc w:val="left"/>
        <w:outlineLvl w:val="9"/>
      </w:pPr>
      <w:rPr>
        <w:rFonts w:ascii="Arial" w:hAnsi="Arial"/>
        <w:b/>
        <w:i w:val="0"/>
        <w:color w:val="000000"/>
        <w:sz w:val="16"/>
      </w:rPr>
    </w:tblStylePr>
    <w:tblStylePr w:type="band2Vert">
      <w:rPr>
        <w:rFonts w:ascii="Arial" w:hAnsi="Arial"/>
        <w:b w:val="0"/>
        <w:i w:val="0"/>
        <w:color w:val="000000"/>
        <w:sz w:val="16"/>
      </w:rPr>
      <w:tblPr/>
      <w:tcPr>
        <w:shd w:val="clear" w:color="auto" w:fill="EEF1FA"/>
      </w:tcPr>
    </w:tblStylePr>
  </w:style>
  <w:style w:type="table" w:customStyle="1" w:styleId="CAANZDefaulttable4">
    <w:name w:val="CA ANZ Default table4"/>
    <w:basedOn w:val="TableNormal"/>
    <w:next w:val="TableGrid"/>
    <w:uiPriority w:val="39"/>
    <w:rsid w:val="007A6526"/>
    <w:pPr>
      <w:spacing w:before="140" w:after="40" w:line="312" w:lineRule="auto"/>
      <w:ind w:left="85" w:right="85"/>
    </w:pPr>
    <w:rPr>
      <w:rFonts w:ascii="Arial" w:hAnsi="Arial"/>
      <w:color w:val="000000"/>
      <w:kern w:val="0"/>
      <w:sz w:val="16"/>
      <w:szCs w:val="20"/>
      <w:lang w:val="en-NZ"/>
      <w14:ligatures w14:val="none"/>
    </w:rPr>
    <w:tblPr>
      <w:tblStyleColBandSize w:val="1"/>
      <w:tblBorders>
        <w:top w:val="single" w:sz="6" w:space="0" w:color="0934C1"/>
        <w:bottom w:val="single" w:sz="6" w:space="0" w:color="0934C1"/>
        <w:insideH w:val="single" w:sz="2" w:space="0" w:color="0934C1"/>
        <w:insideV w:val="single" w:sz="18" w:space="0" w:color="FFFFFF"/>
      </w:tblBorders>
    </w:tblPr>
    <w:tcPr>
      <w:shd w:val="clear" w:color="auto" w:fill="auto"/>
      <w:tcMar>
        <w:left w:w="0" w:type="dxa"/>
        <w:right w:w="0" w:type="dxa"/>
      </w:tcMar>
    </w:tcPr>
    <w:tblStylePr w:type="firstRow">
      <w:pPr>
        <w:wordWrap/>
        <w:spacing w:beforeLines="0" w:before="140" w:beforeAutospacing="0" w:afterLines="0" w:after="40" w:afterAutospacing="0" w:line="312" w:lineRule="auto"/>
        <w:ind w:leftChars="0" w:left="85" w:rightChars="0" w:right="85" w:firstLineChars="0" w:firstLine="0"/>
        <w:contextualSpacing w:val="0"/>
        <w:mirrorIndents w:val="0"/>
        <w:jc w:val="left"/>
        <w:outlineLvl w:val="9"/>
      </w:pPr>
      <w:rPr>
        <w:rFonts w:ascii="Aptos Display" w:hAnsi="Aptos Display"/>
        <w:b/>
        <w:i w:val="0"/>
        <w:color w:val="000000"/>
        <w:sz w:val="16"/>
      </w:rPr>
      <w:tblPr/>
      <w:tcPr>
        <w:tcBorders>
          <w:top w:val="single" w:sz="6" w:space="0" w:color="0934C1"/>
          <w:left w:val="nil"/>
          <w:bottom w:val="nil"/>
          <w:right w:val="nil"/>
          <w:insideH w:val="nil"/>
          <w:insideV w:val="single" w:sz="18" w:space="0" w:color="FFFFFF"/>
          <w:tl2br w:val="nil"/>
          <w:tr2bl w:val="nil"/>
        </w:tcBorders>
        <w:vAlign w:val="center"/>
      </w:tcPr>
    </w:tblStylePr>
    <w:tblStylePr w:type="lastRow">
      <w:pPr>
        <w:wordWrap/>
        <w:spacing w:beforeLines="0" w:before="140" w:beforeAutospacing="0" w:afterLines="0" w:after="40" w:afterAutospacing="0" w:line="312" w:lineRule="auto"/>
        <w:ind w:leftChars="0" w:left="85" w:rightChars="0" w:right="85" w:firstLineChars="0" w:firstLine="0"/>
        <w:contextualSpacing w:val="0"/>
        <w:mirrorIndents w:val="0"/>
        <w:jc w:val="left"/>
        <w:outlineLvl w:val="9"/>
      </w:pPr>
      <w:rPr>
        <w:rFonts w:ascii="Arial" w:hAnsi="Arial"/>
        <w:b/>
        <w:i w:val="0"/>
        <w:sz w:val="16"/>
      </w:rPr>
      <w:tblPr/>
      <w:tcPr>
        <w:tcBorders>
          <w:top w:val="nil"/>
          <w:left w:val="nil"/>
          <w:bottom w:val="single" w:sz="6" w:space="0" w:color="0934C1"/>
          <w:right w:val="nil"/>
          <w:insideH w:val="nil"/>
          <w:insideV w:val="single" w:sz="18" w:space="0" w:color="FFFFFF"/>
          <w:tl2br w:val="nil"/>
          <w:tr2bl w:val="nil"/>
        </w:tcBorders>
      </w:tcPr>
    </w:tblStylePr>
    <w:tblStylePr w:type="firstCol">
      <w:pPr>
        <w:wordWrap/>
        <w:spacing w:beforeLines="0" w:before="140" w:beforeAutospacing="0" w:afterLines="0" w:after="40" w:afterAutospacing="0" w:line="312" w:lineRule="auto"/>
        <w:ind w:leftChars="0" w:left="85" w:rightChars="0" w:right="85" w:firstLineChars="0" w:firstLine="0"/>
        <w:contextualSpacing w:val="0"/>
        <w:mirrorIndents w:val="0"/>
        <w:jc w:val="left"/>
        <w:outlineLvl w:val="9"/>
      </w:pPr>
      <w:rPr>
        <w:rFonts w:ascii="Arial" w:hAnsi="Arial"/>
        <w:b/>
        <w:i w:val="0"/>
        <w:color w:val="000000"/>
        <w:sz w:val="16"/>
      </w:rPr>
    </w:tblStylePr>
    <w:tblStylePr w:type="band2Vert">
      <w:rPr>
        <w:rFonts w:ascii="Arial" w:hAnsi="Arial"/>
        <w:b w:val="0"/>
        <w:i w:val="0"/>
        <w:color w:val="000000"/>
        <w:sz w:val="16"/>
      </w:rPr>
      <w:tblPr/>
      <w:tcPr>
        <w:shd w:val="clear" w:color="auto" w:fill="EEF1FA"/>
      </w:tcPr>
    </w:tblStylePr>
  </w:style>
  <w:style w:type="paragraph" w:styleId="Revision">
    <w:name w:val="Revision"/>
    <w:hidden/>
    <w:uiPriority w:val="99"/>
    <w:semiHidden/>
    <w:rsid w:val="00F263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92F060ADBB6940B6D62C71052FB9B3" ma:contentTypeVersion="18" ma:contentTypeDescription="Create a new document." ma:contentTypeScope="" ma:versionID="9bafe85a510d030ce62a57b8656f1f93">
  <xsd:schema xmlns:xsd="http://www.w3.org/2001/XMLSchema" xmlns:xs="http://www.w3.org/2001/XMLSchema" xmlns:p="http://schemas.microsoft.com/office/2006/metadata/properties" xmlns:ns2="67b88202-a098-4b62-b674-336cafb1224c" xmlns:ns3="238feb9b-6c41-4b64-b045-6bf967e56230" targetNamespace="http://schemas.microsoft.com/office/2006/metadata/properties" ma:root="true" ma:fieldsID="9cb1571e4da1ce9000d135a9599c7475" ns2:_="" ns3:_="">
    <xsd:import namespace="67b88202-a098-4b62-b674-336cafb1224c"/>
    <xsd:import namespace="238feb9b-6c41-4b64-b045-6bf967e562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88202-a098-4b62-b674-336cafb12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93ff06d-1266-449d-b555-aac181d8ad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8feb9b-6c41-4b64-b045-6bf967e562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817034d-88d7-4c53-96e0-d592a30cefc7}" ma:internalName="TaxCatchAll" ma:showField="CatchAllData" ma:web="238feb9b-6c41-4b64-b045-6bf967e562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b88202-a098-4b62-b674-336cafb1224c">
      <Terms xmlns="http://schemas.microsoft.com/office/infopath/2007/PartnerControls"/>
    </lcf76f155ced4ddcb4097134ff3c332f>
    <TaxCatchAll xmlns="238feb9b-6c41-4b64-b045-6bf967e56230" xsi:nil="true"/>
  </documentManagement>
</p:properties>
</file>

<file path=customXml/itemProps1.xml><?xml version="1.0" encoding="utf-8"?>
<ds:datastoreItem xmlns:ds="http://schemas.openxmlformats.org/officeDocument/2006/customXml" ds:itemID="{C6C6CAA9-7D53-4CC4-B8D8-718043FBEF40}">
  <ds:schemaRefs>
    <ds:schemaRef ds:uri="http://schemas.microsoft.com/sharepoint/v3/contenttype/forms"/>
  </ds:schemaRefs>
</ds:datastoreItem>
</file>

<file path=customXml/itemProps2.xml><?xml version="1.0" encoding="utf-8"?>
<ds:datastoreItem xmlns:ds="http://schemas.openxmlformats.org/officeDocument/2006/customXml" ds:itemID="{63816BEE-3234-45A2-B536-B934371FFFDC}"/>
</file>

<file path=customXml/itemProps3.xml><?xml version="1.0" encoding="utf-8"?>
<ds:datastoreItem xmlns:ds="http://schemas.openxmlformats.org/officeDocument/2006/customXml" ds:itemID="{A778482F-9E1F-4FBB-840A-4531F8F99AF9}">
  <ds:schemaRefs>
    <ds:schemaRef ds:uri="http://purl.org/dc/dcmitype/"/>
    <ds:schemaRef ds:uri="http://schemas.microsoft.com/office/2006/documentManagement/types"/>
    <ds:schemaRef ds:uri="http://purl.org/dc/elements/1.1/"/>
    <ds:schemaRef ds:uri="7e214b36-ddd7-4bdd-8249-baa6369b868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terms/"/>
    <ds:schemaRef ds:uri="d3a4ece4-17ad-4343-9fec-52aa8b13a730"/>
    <ds:schemaRef ds:uri="46a65078-e7d1-4b67-9a6e-9934fae4173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456</Words>
  <Characters>2710</Characters>
  <Application>Microsoft Office Word</Application>
  <DocSecurity>4</DocSecurity>
  <Lines>22</Lines>
  <Paragraphs>6</Paragraphs>
  <ScaleCrop>false</ScaleCrop>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Russell</dc:creator>
  <cp:keywords/>
  <dc:description/>
  <cp:lastModifiedBy>Caroline Durkin</cp:lastModifiedBy>
  <cp:revision>2</cp:revision>
  <dcterms:created xsi:type="dcterms:W3CDTF">2025-06-22T19:32:00Z</dcterms:created>
  <dcterms:modified xsi:type="dcterms:W3CDTF">2025-06-22T19:32:00Z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126d403e-6e18-40ab-8f7b-1a6ac38ad9da</vt:lpwstr>
  </property>
  <property fmtid="{D5CDD505-2E9C-101B-9397-08002B2CF9AE}" pid="3" name="ContentTypeId">
    <vt:lpwstr>0x0101002992F060ADBB6940B6D62C71052FB9B3</vt:lpwstr>
  </property>
</Properties>
</file>